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4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</w:rPr>
        <w:t>关于枞阳县2021年国民经济和社会发展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计划执行情况与2022年计划草案的报告</w:t>
      </w:r>
    </w:p>
    <w:p>
      <w:pPr>
        <w:rPr>
          <w:rFonts w:hint="eastAsia"/>
        </w:rPr>
      </w:pPr>
    </w:p>
    <w:bookmarkEnd w:id="0"/>
    <w:p>
      <w:pPr>
        <w:spacing w:line="600" w:lineRule="exact"/>
        <w:jc w:val="center"/>
        <w:rPr>
          <w:rFonts w:hint="eastAsia" w:ascii="宋体" w:hAnsi="宋体" w:eastAsia="宋体" w:cs="楷体"/>
          <w:bCs/>
          <w:sz w:val="32"/>
          <w:szCs w:val="32"/>
        </w:rPr>
      </w:pPr>
      <w:r>
        <w:rPr>
          <w:rFonts w:hint="eastAsia" w:ascii="宋体" w:hAnsi="宋体" w:eastAsia="宋体" w:cs="楷体"/>
          <w:bCs/>
          <w:sz w:val="32"/>
          <w:szCs w:val="32"/>
          <w:lang w:eastAsia="zh-CN"/>
        </w:rPr>
        <w:t>──</w:t>
      </w:r>
      <w:r>
        <w:rPr>
          <w:rFonts w:hint="eastAsia" w:ascii="宋体" w:hAnsi="宋体" w:eastAsia="宋体" w:cs="楷体"/>
          <w:bCs/>
          <w:sz w:val="32"/>
          <w:szCs w:val="32"/>
        </w:rPr>
        <w:t>20</w:t>
      </w:r>
      <w:r>
        <w:rPr>
          <w:rFonts w:hint="eastAsia" w:ascii="宋体" w:hAnsi="宋体" w:cs="楷体"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楷体"/>
          <w:bCs/>
          <w:sz w:val="32"/>
          <w:szCs w:val="32"/>
        </w:rPr>
        <w:t>年</w:t>
      </w:r>
      <w:r>
        <w:rPr>
          <w:rFonts w:hint="eastAsia" w:ascii="宋体" w:hAnsi="宋体" w:eastAsia="宋体" w:cs="楷体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楷体"/>
          <w:bCs/>
          <w:sz w:val="32"/>
          <w:szCs w:val="32"/>
        </w:rPr>
        <w:t>月</w:t>
      </w:r>
      <w:r>
        <w:rPr>
          <w:rFonts w:hint="eastAsia" w:ascii="宋体" w:hAnsi="宋体" w:eastAsia="宋体" w:cs="楷体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楷体"/>
          <w:bCs/>
          <w:sz w:val="32"/>
          <w:szCs w:val="32"/>
        </w:rPr>
        <w:t>日在枞阳县第十</w:t>
      </w:r>
      <w:r>
        <w:rPr>
          <w:rFonts w:hint="eastAsia" w:ascii="宋体" w:hAnsi="宋体" w:eastAsia="宋体" w:cs="楷体"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楷体"/>
          <w:bCs/>
          <w:sz w:val="32"/>
          <w:szCs w:val="32"/>
        </w:rPr>
        <w:t>届</w:t>
      </w:r>
    </w:p>
    <w:p>
      <w:pPr>
        <w:spacing w:line="600" w:lineRule="exact"/>
        <w:jc w:val="center"/>
        <w:rPr>
          <w:rFonts w:hint="eastAsia" w:ascii="宋体" w:hAnsi="宋体" w:eastAsia="宋体" w:cs="楷体"/>
          <w:bCs/>
          <w:sz w:val="32"/>
          <w:szCs w:val="32"/>
        </w:rPr>
      </w:pPr>
      <w:r>
        <w:rPr>
          <w:rFonts w:hint="eastAsia" w:ascii="宋体" w:hAnsi="宋体" w:eastAsia="宋体" w:cs="楷体"/>
          <w:bCs/>
          <w:sz w:val="32"/>
          <w:szCs w:val="32"/>
        </w:rPr>
        <w:t>人民代表大会第</w:t>
      </w:r>
      <w:r>
        <w:rPr>
          <w:rFonts w:hint="eastAsia" w:ascii="宋体" w:hAnsi="宋体" w:eastAsia="宋体" w:cs="楷体"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楷体"/>
          <w:bCs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县发展和改革委员会</w:t>
      </w:r>
      <w:r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受县人民政府委托，向大会报告全县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年国民经济和社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会发展计划执行情况与</w:t>
      </w:r>
      <w:r>
        <w:rPr>
          <w:rFonts w:hint="eastAsia" w:ascii="仿宋" w:hAnsi="仿宋" w:eastAsia="仿宋" w:cs="仿宋"/>
          <w:color w:val="auto"/>
          <w:spacing w:val="6"/>
          <w:sz w:val="32"/>
          <w:szCs w:val="21"/>
        </w:rPr>
        <w:t>2022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年计划草案，请予审议，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并请县政协委员和其他列席会议人员提出意见。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魏碑简体" w:hAnsi="方正魏碑简体" w:eastAsia="方正魏碑简体" w:cs="方正魏碑简体"/>
          <w:color w:val="auto"/>
          <w:sz w:val="36"/>
          <w:szCs w:val="36"/>
        </w:rPr>
      </w:pPr>
      <w:r>
        <w:rPr>
          <w:rFonts w:hint="eastAsia" w:ascii="方正魏碑简体" w:hAnsi="方正魏碑简体" w:eastAsia="方正魏碑简体" w:cs="方正魏碑简体"/>
          <w:color w:val="auto"/>
          <w:sz w:val="36"/>
          <w:szCs w:val="36"/>
        </w:rPr>
        <w:t>一、2021年国民经济和社会发展计划执行情况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21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年，面对复杂严峻的宏观经济形势和持续加大的经济下行压力，全县上下在县委的坚强领导下，在县人大常委会的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指导监督下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，深入贯彻习近平总书记考察安徽重要讲话指示精神，坚持稳中求进工作总基调，完整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全面贯彻新发展理念，服务和融入新发展格局，牢固树立“发展为要、项目为王、实干为先”鲜明导向，统筹发展和安全，持续巩固拓展疫情防控和经济社会发展成果，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县域经济高质量发展取得新成效，实现“十四五”良好开局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jc w:val="center"/>
        <w:outlineLvl w:val="0"/>
        <w:rPr>
          <w:rFonts w:ascii="楷体" w:hAnsi="楷体" w:eastAsia="楷体" w:cs="Times New Roman"/>
          <w:b/>
          <w:bCs/>
          <w:color w:val="auto"/>
          <w:w w:val="9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w w:val="90"/>
          <w:kern w:val="0"/>
          <w:sz w:val="28"/>
          <w:szCs w:val="28"/>
        </w:rPr>
        <w:t>专栏</w:t>
      </w:r>
      <w:r>
        <w:rPr>
          <w:rFonts w:ascii="Times New Roman" w:hAnsi="Times New Roman" w:eastAsia="楷体" w:cs="楷体"/>
          <w:b/>
          <w:bCs/>
          <w:color w:val="auto"/>
          <w:w w:val="90"/>
          <w:kern w:val="0"/>
          <w:sz w:val="28"/>
          <w:szCs w:val="28"/>
        </w:rPr>
        <w:t>1</w:t>
      </w:r>
      <w:r>
        <w:rPr>
          <w:rFonts w:hint="eastAsia" w:ascii="楷体" w:hAnsi="楷体" w:eastAsia="楷体" w:cs="楷体"/>
          <w:b/>
          <w:bCs/>
          <w:color w:val="auto"/>
          <w:w w:val="90"/>
          <w:kern w:val="0"/>
          <w:sz w:val="28"/>
          <w:szCs w:val="28"/>
        </w:rPr>
        <w:t>：</w:t>
      </w:r>
      <w:r>
        <w:rPr>
          <w:rFonts w:ascii="Times New Roman" w:hAnsi="Times New Roman" w:eastAsia="楷体" w:cs="楷体"/>
          <w:b/>
          <w:bCs/>
          <w:color w:val="auto"/>
          <w:w w:val="90"/>
          <w:kern w:val="0"/>
          <w:sz w:val="28"/>
          <w:szCs w:val="28"/>
        </w:rPr>
        <w:t>20</w:t>
      </w:r>
      <w:r>
        <w:rPr>
          <w:rFonts w:hint="eastAsia" w:ascii="Times New Roman" w:hAnsi="Times New Roman" w:eastAsia="楷体" w:cs="楷体"/>
          <w:b/>
          <w:bCs/>
          <w:color w:val="auto"/>
          <w:w w:val="90"/>
          <w:kern w:val="0"/>
          <w:sz w:val="28"/>
          <w:szCs w:val="28"/>
        </w:rPr>
        <w:t>21</w:t>
      </w:r>
      <w:r>
        <w:rPr>
          <w:rFonts w:hint="eastAsia" w:ascii="楷体" w:hAnsi="楷体" w:eastAsia="楷体" w:cs="楷体"/>
          <w:b/>
          <w:bCs/>
          <w:color w:val="auto"/>
          <w:w w:val="90"/>
          <w:kern w:val="0"/>
          <w:sz w:val="28"/>
          <w:szCs w:val="28"/>
        </w:rPr>
        <w:t>年国民经济和社会发展计划主要目标预计完成情况</w:t>
      </w:r>
    </w:p>
    <w:tbl>
      <w:tblPr>
        <w:tblStyle w:val="10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953"/>
        <w:gridCol w:w="770"/>
        <w:gridCol w:w="1313"/>
        <w:gridCol w:w="975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2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计量</w:t>
            </w:r>
          </w:p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sz w:val="18"/>
                <w:szCs w:val="18"/>
              </w:rPr>
              <w:t>计　划</w:t>
            </w:r>
          </w:p>
        </w:tc>
        <w:tc>
          <w:tcPr>
            <w:tcW w:w="2223" w:type="dxa"/>
            <w:gridSpan w:val="2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22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总量</w:t>
            </w:r>
          </w:p>
        </w:tc>
        <w:tc>
          <w:tcPr>
            <w:tcW w:w="1313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增长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总量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增长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一、地区生产总值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8以上 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ind w:firstLine="180" w:firstLineChars="1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二、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地方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一般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公共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11.17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10以上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11.2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三、规模工业总产值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16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116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四、战略性新兴产业产值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五、固定资产投资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117.4 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六、社会消费品零售总额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97.7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七、进出口总额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2461.6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八、农村常住居民人均可支配收入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auto"/>
              </w:rPr>
              <w:t xml:space="preserve">不低于全省平均水平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16237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九、招商引资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18"/>
                <w:szCs w:val="18"/>
              </w:rPr>
              <w:t>其中：利用外资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6600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6.5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6737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黑体" w:cs="黑体"/>
                <w:color w:val="auto"/>
                <w:kern w:val="0"/>
                <w:sz w:val="18"/>
                <w:szCs w:val="18"/>
              </w:rPr>
              <w:t xml:space="preserve">　　　        </w:t>
            </w:r>
            <w:r>
              <w:rPr>
                <w:rFonts w:hint="eastAsia" w:ascii="Calibri" w:hAnsi="Calibri" w:cs="宋体"/>
                <w:color w:val="auto"/>
                <w:kern w:val="0"/>
                <w:sz w:val="18"/>
                <w:szCs w:val="18"/>
              </w:rPr>
              <w:t>在建项目到位资金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亿元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12.5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>十、就业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ascii="Calibri" w:hAnsi="Calibri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18"/>
                <w:szCs w:val="18"/>
              </w:rPr>
              <w:t>城镇新增就业人数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3500 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5300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ascii="Calibri" w:hAnsi="Calibri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color w:val="auto"/>
                <w:kern w:val="0"/>
                <w:sz w:val="18"/>
                <w:szCs w:val="18"/>
              </w:rPr>
              <w:t>城镇登记失业率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3.5以内   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持平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 3.2以内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十一、城镇化率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%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十二、人口自然增长率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‰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10.8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sz w:val="18"/>
                <w:szCs w:val="18"/>
              </w:rPr>
              <w:t xml:space="preserve">十三、节能减排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完成省、市控制目标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完成省、市控制目标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）全力以赴抓创新转型，实体经济汇聚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更强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工业经济稳中提质。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创新驱动不断强化，出台促进科技创新奖励办法，安徽工业大学枞阳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工业技术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经开区科技孵化器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正式运营，金誉公司获批省级绿色工厂，万华板业、</w:t>
      </w:r>
      <w:r>
        <w:rPr>
          <w:rFonts w:hint="eastAsia" w:ascii="仿宋_GB2312" w:eastAsia="仿宋_GB2312"/>
          <w:color w:val="auto"/>
          <w:sz w:val="32"/>
          <w:szCs w:val="32"/>
        </w:rPr>
        <w:t>明坤铝业等6家企业获评市级“专精特新”企业，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盛控新能源获“创响中国”安徽双创大赛三等奖</w:t>
      </w:r>
      <w:r>
        <w:rPr>
          <w:rFonts w:hint="eastAsia" w:ascii="仿宋_GB2312" w:eastAsia="仿宋_GB2312"/>
          <w:color w:val="auto"/>
          <w:sz w:val="32"/>
          <w:szCs w:val="32"/>
        </w:rPr>
        <w:t>。新增有效发明专利69件，每万人发明专利拥有量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达8.4</w:t>
      </w:r>
      <w:r>
        <w:rPr>
          <w:rFonts w:hint="eastAsia" w:ascii="仿宋_GB2312" w:eastAsia="仿宋_GB2312"/>
          <w:color w:val="auto"/>
          <w:sz w:val="32"/>
          <w:szCs w:val="32"/>
        </w:rPr>
        <w:t>件。工业质效显著提升，全面启动规上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仿宋_GB2312" w:eastAsia="仿宋_GB2312"/>
          <w:color w:val="auto"/>
          <w:sz w:val="32"/>
          <w:szCs w:val="32"/>
        </w:rPr>
        <w:t>企业、高新企业双倍增计划，2021年度新增规上工业企业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高新企业1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家，友坤玻璃、锦庭家纺2家企业获批省级数字化车间认定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“三重一创”建设有序推进，省级绿色家居智造特色产业集群成功获批，金誉、万华成功入选“十四五”首批先进制造业和现代服务业融合发展试点，全年新增战新企业5家。高性能铝基新材料重大新兴产业工程推进有序，万华板业荣列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首批次新材料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认定名单。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服务业发展稳中有进。</w:t>
      </w:r>
      <w:r>
        <w:rPr>
          <w:rFonts w:hint="eastAsia" w:ascii="仿宋_GB2312" w:eastAsia="仿宋_GB2312"/>
          <w:color w:val="auto"/>
          <w:sz w:val="32"/>
          <w:szCs w:val="32"/>
        </w:rPr>
        <w:t>商贸流通体系有序完善，全县社会消费品零售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color w:val="auto"/>
          <w:sz w:val="32"/>
          <w:szCs w:val="32"/>
        </w:rPr>
        <w:t>额完成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97.7</w:t>
      </w:r>
      <w:r>
        <w:rPr>
          <w:rFonts w:hint="eastAsia" w:ascii="仿宋_GB2312" w:eastAsia="仿宋_GB2312"/>
          <w:color w:val="auto"/>
          <w:sz w:val="32"/>
          <w:szCs w:val="32"/>
        </w:rPr>
        <w:t>亿元，增长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22.9</w:t>
      </w:r>
      <w:r>
        <w:rPr>
          <w:rFonts w:hint="eastAsia" w:ascii="仿宋_GB2312" w:eastAsia="仿宋_GB2312"/>
          <w:color w:val="auto"/>
          <w:sz w:val="32"/>
          <w:szCs w:val="32"/>
        </w:rPr>
        <w:t>%。限上单位规模不断扩大，新增限上单位25家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“铜都老字号”5家,申报“安徽省老字号”3家。荣获省政府2020年激励真抓实干（推进农产品流通现代化、农村电商发展）成效明显县，创建省级电商示范镇1个、示范村5个。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全年电商交易额完成18.9亿元，增长30%。</w:t>
      </w:r>
      <w:r>
        <w:rPr>
          <w:rFonts w:hint="eastAsia" w:ascii="仿宋_GB2312" w:eastAsia="仿宋_GB2312"/>
          <w:color w:val="auto"/>
          <w:sz w:val="32"/>
          <w:szCs w:val="32"/>
        </w:rPr>
        <w:t>全域旅游创建持续推进，成功举办2021年度“春游江淮枞阳行”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首届“有氧登山节”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活动，枞阳名人馆和黄镇纪念馆对外开放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新增3A级旅游景区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省级休闲旅游示范点4家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浮山镇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获批</w:t>
      </w:r>
      <w:r>
        <w:rPr>
          <w:rFonts w:hint="eastAsia" w:ascii="仿宋_GB2312" w:eastAsia="仿宋_GB2312"/>
          <w:color w:val="auto"/>
          <w:sz w:val="32"/>
          <w:szCs w:val="32"/>
        </w:rPr>
        <w:t>安徽省首批特色旅游名镇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与景域驴妈妈、功夫动漫等名企成功签约，乡村振兴旅游富民示范区建设有序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</w:rPr>
        <w:t>。普惠金融扎实推进，“政银担”累计投放贷款2.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亿元，做到应贷尽贷；税融通贷款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2.1</w:t>
      </w:r>
      <w:r>
        <w:rPr>
          <w:rFonts w:hint="eastAsia" w:ascii="仿宋_GB2312" w:eastAsia="仿宋_GB2312"/>
          <w:color w:val="auto"/>
          <w:sz w:val="32"/>
          <w:szCs w:val="32"/>
        </w:rPr>
        <w:t>亿元；续贷过桥周转金额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eastAsia="仿宋_GB2312"/>
          <w:color w:val="auto"/>
          <w:sz w:val="32"/>
          <w:szCs w:val="32"/>
        </w:rPr>
        <w:t>亿元，周转率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15.4</w:t>
      </w:r>
      <w:r>
        <w:rPr>
          <w:rFonts w:hint="eastAsia" w:ascii="仿宋_GB2312" w:eastAsia="仿宋_GB2312"/>
          <w:color w:val="auto"/>
          <w:sz w:val="32"/>
          <w:szCs w:val="32"/>
        </w:rPr>
        <w:t>次；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家企业在省股交中心挂牌。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农业生产稳中调优。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坚决稳定农产品生产，完成粮食播种面积111.9万亩，预计粮食总产51.5万吨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扎实做好生猪稳产保供，完成生猪存、出栏年度目标，新增稻渔综合种养1万亩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沿江优质稻麦繁殖基地落户枞阳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强化农业基础设施建设，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现代农业科技园获批创建，6.5万亩高标准农田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建成，建立县级优质农产品运营中心1个、供应链示范基地5个。大力发展乡村产业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融合，围绕优质糯稻、枞阳白茶和水产养殖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一县一业（特）”全产业链创建，“仙羽舌”白茶纳入全省“五个一批”品牌培育目标。大力培育家庭农场、农民合作社、村级供销社等新型经营主体，新增家庭农场183个、农民合作社16个、村级供销社15个，培育新型职业农民250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（二）全力以赴抓项目建设，发展后劲实现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更大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项目建设提速增效。</w:t>
      </w:r>
      <w:r>
        <w:rPr>
          <w:rFonts w:hint="eastAsia" w:ascii="仿宋_GB2312" w:eastAsia="仿宋_GB2312"/>
          <w:color w:val="auto"/>
          <w:sz w:val="32"/>
          <w:szCs w:val="32"/>
        </w:rPr>
        <w:t>项目推进有速度，继续实施重大项目攻坚年活动，实行重大项目专题周调度机制，全面提高项目调度精准性。铝基新材料产业园、锂电池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PACK</w:t>
      </w:r>
      <w:r>
        <w:rPr>
          <w:rFonts w:hint="eastAsia" w:ascii="仿宋_GB2312" w:eastAsia="仿宋_GB2312"/>
          <w:color w:val="auto"/>
          <w:sz w:val="32"/>
          <w:szCs w:val="32"/>
        </w:rPr>
        <w:t>基地等一批重大产业类项目开工建设，省市重点项目累计完成投资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145.1</w:t>
      </w:r>
      <w:r>
        <w:rPr>
          <w:rFonts w:hint="eastAsia" w:ascii="仿宋_GB2312" w:eastAsia="仿宋_GB2312"/>
          <w:color w:val="auto"/>
          <w:sz w:val="32"/>
          <w:szCs w:val="32"/>
        </w:rPr>
        <w:t>亿元，占年度计划12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8.3</w:t>
      </w:r>
      <w:r>
        <w:rPr>
          <w:rFonts w:hint="eastAsia" w:ascii="仿宋_GB2312" w:eastAsia="仿宋_GB2312"/>
          <w:color w:val="auto"/>
          <w:sz w:val="32"/>
          <w:szCs w:val="32"/>
        </w:rPr>
        <w:t>%。有效投入不断加大，累计新增入库项目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color w:val="auto"/>
          <w:sz w:val="32"/>
          <w:szCs w:val="32"/>
        </w:rPr>
        <w:t>个，总投资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139.6</w:t>
      </w:r>
      <w:r>
        <w:rPr>
          <w:rFonts w:hint="eastAsia" w:ascii="仿宋_GB2312" w:eastAsia="仿宋_GB2312"/>
          <w:color w:val="auto"/>
          <w:sz w:val="32"/>
          <w:szCs w:val="32"/>
        </w:rPr>
        <w:t>亿元。全年完成固定资产投资117.4亿元，增长15%。项目谋划有深度，围绕中央政策导向和发展实际，谋划储备重大项目171个，总投资830亿元。项目争取有成绩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获批中央预算内投资项目11个，全年共争取上级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资金1.1亿元。新增发行专项债券项目13个，累计发债8.1亿元。申报“十四五”时期特殊类型地区重大项目65个，总投资332.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双招双引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多点发力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链长制招商全面铺开，围绕“2+4+X”产业体系，组建铝基新材料、智能家居等7条重点产业链。进一步细分产业招商，强化供应链、信息链、采购链、服务链、人才链多链协同，全年新引进亿元以上项目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</w:rPr>
        <w:t>个，省外亿元以上项目到位资金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  <w:szCs w:val="32"/>
        </w:rPr>
        <w:t>亿元，引进高层次科技人才团队2家。专业招商有序进行，积极参加第三届中国定制家居大会等主题招商活动，协办第18届鲁班园“高端定制”智造峰会，同华中科技大学无锡研究院开展深度合作，引进项目3个。央企名企合作实现新突破，先后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中材国际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安徽海螺</w:t>
      </w:r>
      <w:r>
        <w:rPr>
          <w:rFonts w:hint="eastAsia" w:ascii="仿宋_GB2312" w:eastAsia="仿宋_GB2312"/>
          <w:color w:val="auto"/>
          <w:sz w:val="32"/>
          <w:szCs w:val="32"/>
        </w:rPr>
        <w:t>、阳光电源等一批知名企业签约，总投资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20.7</w:t>
      </w:r>
      <w:r>
        <w:rPr>
          <w:rFonts w:hint="eastAsia" w:ascii="仿宋_GB2312" w:eastAsia="仿宋_GB2312"/>
          <w:color w:val="auto"/>
          <w:sz w:val="32"/>
          <w:szCs w:val="32"/>
        </w:rPr>
        <w:t>亿元的中建材新型绿色建材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落户枞阳，总投资135亿元的4680锂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离子</w:t>
      </w:r>
      <w:r>
        <w:rPr>
          <w:rFonts w:hint="eastAsia" w:ascii="仿宋_GB2312" w:eastAsia="仿宋_GB2312"/>
          <w:color w:val="auto"/>
          <w:sz w:val="32"/>
          <w:szCs w:val="32"/>
        </w:rPr>
        <w:t>动力电池项目和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30亿元的</w:t>
      </w:r>
      <w:r>
        <w:rPr>
          <w:rFonts w:hint="eastAsia" w:ascii="仿宋_GB2312" w:eastAsia="仿宋_GB2312"/>
          <w:color w:val="auto"/>
          <w:sz w:val="32"/>
          <w:szCs w:val="32"/>
        </w:rPr>
        <w:t>平盛吴江纺织科技产业园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正在洽谈。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园区能级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提升。</w:t>
      </w:r>
      <w:r>
        <w:rPr>
          <w:rFonts w:hint="eastAsia" w:ascii="仿宋_GB2312" w:eastAsia="仿宋_GB2312"/>
          <w:color w:val="auto"/>
          <w:sz w:val="32"/>
          <w:szCs w:val="32"/>
        </w:rPr>
        <w:t>园区改革持续深化，经开区审批服务效能不断提升，承接自主直接审批事项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项、“见文行文、见章盖章”审批事项3项，横埠园区企业服务中心正式启用。工业项目“承诺即开工”机制全面实施，“标准地”改革顺利进行，成功出让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宗“标准地”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189</w:t>
      </w:r>
      <w:r>
        <w:rPr>
          <w:rFonts w:hint="eastAsia" w:ascii="仿宋_GB2312" w:eastAsia="仿宋_GB2312"/>
          <w:color w:val="auto"/>
          <w:sz w:val="32"/>
          <w:szCs w:val="32"/>
        </w:rPr>
        <w:t>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完成经开区区域能评</w:t>
      </w:r>
      <w:r>
        <w:rPr>
          <w:rFonts w:hint="eastAsia" w:ascii="仿宋_GB2312" w:eastAsia="仿宋_GB2312"/>
          <w:color w:val="auto"/>
          <w:sz w:val="32"/>
          <w:szCs w:val="32"/>
        </w:rPr>
        <w:t>。基础设施加速补齐，采用“授权开发＋股权合作＋EPC”投融资模式，总投资26.4亿元的园区整体投资建设运营一体化（片区开发）项目正式开工，县域特色产业集群“供电+能效”服务战略全面实施。征地拆迁加速推进，枞阳经开区土地征收成片开发方案率先获批，新楼园区华茂织造产业园、铝基特种电线电缆等重点项目重点地块征迁实现“清零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司空新家装项目征迁接近尾声；桥港园区控规工业用地范围内征迁进度过半。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（三）全力以赴抓改革开放，发展活力得到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更快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释放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="0" w:line="560" w:lineRule="exact"/>
        <w:ind w:left="0" w:leftChars="0"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开放合作迈出新步伐。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深度融入长三角一体化，城区对口合作推深走实，与江阴“1+1+N”合作对接全面开展。新入库长三角区域项目18个，总投资33.6亿元。扎实推进实施“158”行动计划，新增长三角绿色农产品生产加工供应基地3个，“三品”认证15个。区位势能逐步转化为发展动能，枞阳港枢纽成功纳入引江济淮二期工程规划，临江产业园建设全面启动，成立高标准临江产业园建设领导小组，临江产业园“十四五”规划编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营商环境实现新提升。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推出枞阳县优化营商环境十条，推行说“不”提级管理制度、首问负责制，获评“全省投资环境十佳县（市、区）”。持续优化“一网通办”服务能力，全面实行容缺受理，开展政务服务“三提升”“两压缩”专项行动，实现所有政务服务事项“应上尽上”“全程在线”。全县政务服务事项平均办理时限压缩到1.07个工作日，平均申请材料精简到1.8件，全程网办率达99.14%。“四送一服”专项行动扎实推进，服务频次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再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创新高，组建“1+5+16”工作队伍，落实干部联系包保全覆盖，组织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四送一服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集中政策宣讲会2场，包保企业培训会3场，资金要素对接会1场，解决企业资金需求3600万元。收集办理企业问题84件，发放贷款10.1亿元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，惠及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小微企业115户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jc w:val="lef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重点领域改革开创新局面。</w:t>
      </w:r>
      <w:r>
        <w:rPr>
          <w:rFonts w:hint="eastAsia" w:ascii="仿宋" w:hAnsi="仿宋" w:eastAsia="仿宋"/>
          <w:color w:val="auto"/>
          <w:sz w:val="32"/>
          <w:szCs w:val="32"/>
        </w:rPr>
        <w:t>全力推进国资国企改革，继续深化我县行政事业单位国有资产管理和国企改革，国有资产管理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/>
          <w:color w:val="auto"/>
          <w:sz w:val="32"/>
          <w:szCs w:val="32"/>
        </w:rPr>
        <w:t>规范化、常态化。制定闲置和低效用地清理处置方案，全年盘活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停产</w:t>
      </w:r>
      <w:r>
        <w:rPr>
          <w:rFonts w:hint="eastAsia" w:ascii="仿宋" w:hAnsi="仿宋" w:eastAsia="仿宋"/>
          <w:color w:val="auto"/>
          <w:sz w:val="32"/>
          <w:szCs w:val="32"/>
        </w:rPr>
        <w:t>企业和闲置资产。金融领域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风险</w:t>
      </w:r>
      <w:r>
        <w:rPr>
          <w:rFonts w:hint="eastAsia" w:ascii="仿宋" w:hAnsi="仿宋" w:eastAsia="仿宋"/>
          <w:color w:val="auto"/>
          <w:sz w:val="32"/>
          <w:szCs w:val="32"/>
        </w:rPr>
        <w:t>防控全面加强，“高风险”法人金融机构实现清零。农村领域改革全面深化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农村闲置宅基地和闲置住宅盘活利用试点稳慎推进，组建206个村级集体经济组织，实施“三个一批”项目43个，新增集体经济强村5个。实施“三变”改革项目207个，“三变”改革村达到99%。全力推进林长制改革示范区先行区建设，实施林业增绿增效示范工程，完成长江防护林封山育林、退化林修复5000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（四）全力以赴抓城乡统筹，美丽枞阳彰显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更大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魅力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城乡统筹持续强化。</w:t>
      </w:r>
      <w:r>
        <w:rPr>
          <w:rFonts w:hint="eastAsia" w:ascii="仿宋" w:hAnsi="仿宋" w:eastAsia="仿宋"/>
          <w:color w:val="auto"/>
          <w:sz w:val="32"/>
          <w:szCs w:val="32"/>
        </w:rPr>
        <w:t>县城品质不断提升，羹脍路、连羹河全线贯通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滨江大道二期工程全面开工，完成新建道路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条12.6公里，县城易涝区域专项治理和县城排水防涝补短板工程同步推进，建成雨水管网10.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公里</w:t>
      </w:r>
      <w:r>
        <w:rPr>
          <w:rFonts w:hint="eastAsia" w:ascii="仿宋" w:hAnsi="仿宋" w:eastAsia="仿宋"/>
          <w:color w:val="auto"/>
          <w:sz w:val="32"/>
          <w:szCs w:val="32"/>
        </w:rPr>
        <w:t>，污水管网4.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公里</w:t>
      </w:r>
      <w:r>
        <w:rPr>
          <w:rFonts w:hint="eastAsia" w:ascii="仿宋" w:hAnsi="仿宋" w:eastAsia="仿宋"/>
          <w:color w:val="auto"/>
          <w:sz w:val="32"/>
          <w:szCs w:val="32"/>
        </w:rPr>
        <w:t>。零星市政工程有序实施，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座停车场投入使用。6个老旧小区改造项目全面完工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3个项目460户棚户区改造省考核目标任务提前完成。乡村振兴全面起势，建设美丽乡村中心村8个。农村人居环境整治提升五年行动接续推进，</w:t>
      </w:r>
      <w:r>
        <w:rPr>
          <w:rFonts w:ascii="仿宋" w:hAnsi="仿宋" w:eastAsia="仿宋"/>
          <w:color w:val="auto"/>
          <w:sz w:val="32"/>
          <w:szCs w:val="32"/>
        </w:rPr>
        <w:t>农村环境“三大行动”</w:t>
      </w:r>
      <w:r>
        <w:rPr>
          <w:rFonts w:hint="eastAsia" w:ascii="仿宋" w:hAnsi="仿宋" w:eastAsia="仿宋"/>
          <w:color w:val="auto"/>
          <w:sz w:val="32"/>
          <w:szCs w:val="32"/>
        </w:rPr>
        <w:t>扎实</w:t>
      </w:r>
      <w:r>
        <w:rPr>
          <w:rFonts w:ascii="仿宋" w:hAnsi="仿宋" w:eastAsia="仿宋"/>
          <w:color w:val="auto"/>
          <w:sz w:val="32"/>
          <w:szCs w:val="32"/>
        </w:rPr>
        <w:t>开展，1</w:t>
      </w:r>
      <w:r>
        <w:rPr>
          <w:rFonts w:hint="eastAsia" w:ascii="仿宋" w:hAnsi="仿宋" w:eastAsia="仿宋"/>
          <w:color w:val="auto"/>
          <w:sz w:val="32"/>
          <w:szCs w:val="32"/>
        </w:rPr>
        <w:t>万</w:t>
      </w:r>
      <w:r>
        <w:rPr>
          <w:rFonts w:ascii="仿宋" w:hAnsi="仿宋" w:eastAsia="仿宋"/>
          <w:color w:val="auto"/>
          <w:sz w:val="32"/>
          <w:szCs w:val="32"/>
        </w:rPr>
        <w:t>户农村改厕</w:t>
      </w:r>
      <w:r>
        <w:rPr>
          <w:rFonts w:hint="eastAsia" w:ascii="仿宋" w:hAnsi="仿宋" w:eastAsia="仿宋"/>
          <w:color w:val="auto"/>
          <w:sz w:val="32"/>
          <w:szCs w:val="32"/>
        </w:rPr>
        <w:t>有效推进。脱贫攻坚成果巩固与乡村振兴有效衔接，安排资金2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亿</w:t>
      </w:r>
      <w:r>
        <w:rPr>
          <w:rFonts w:hint="eastAsia" w:ascii="仿宋" w:hAnsi="仿宋" w:eastAsia="仿宋"/>
          <w:color w:val="auto"/>
          <w:sz w:val="32"/>
          <w:szCs w:val="32"/>
        </w:rPr>
        <w:t>元，比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上年度</w:t>
      </w:r>
      <w:r>
        <w:rPr>
          <w:rFonts w:hint="eastAsia" w:ascii="仿宋" w:hAnsi="仿宋" w:eastAsia="仿宋"/>
          <w:color w:val="auto"/>
          <w:sz w:val="32"/>
          <w:szCs w:val="32"/>
        </w:rPr>
        <w:t>增加1196万元，政策保障整体稳定。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列入省数字乡村首批试点县，数字乡村扎实推进。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ind w:firstLine="643" w:firstLineChars="200"/>
        <w:textAlignment w:val="baseline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基础设施持续加强。</w:t>
      </w:r>
      <w:r>
        <w:rPr>
          <w:rFonts w:hint="eastAsia" w:ascii="仿宋" w:hAnsi="仿宋" w:eastAsia="仿宋"/>
          <w:color w:val="auto"/>
          <w:sz w:val="32"/>
          <w:szCs w:val="32"/>
        </w:rPr>
        <w:t>骨干路网加快建设，乌金渡大桥全桥贯通，德上高速枞阳段压茬推进，G237（一期）会宫至官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埠</w:t>
      </w:r>
      <w:r>
        <w:rPr>
          <w:rFonts w:hint="eastAsia" w:ascii="仿宋" w:hAnsi="仿宋" w:eastAsia="仿宋"/>
          <w:color w:val="auto"/>
          <w:sz w:val="32"/>
          <w:szCs w:val="32"/>
        </w:rPr>
        <w:t>桥段、S232白柳至会宫段，G330枞阳段、天天高速同步推进。农村路网全面提质，实施农村公路改造22.2公里，危桥改造5座。363个村道水毁恢复工程全面完工，旅游公路、农村公路大（中）修工程开工建设。引江济淮工程有序实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小港航道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成功获批。</w:t>
      </w:r>
      <w:r>
        <w:rPr>
          <w:rFonts w:hint="eastAsia" w:ascii="仿宋" w:hAnsi="仿宋" w:eastAsia="仿宋"/>
          <w:color w:val="auto"/>
          <w:sz w:val="32"/>
          <w:szCs w:val="32"/>
        </w:rPr>
        <w:t>水利短板加速补齐，大沙河（枞阳段）治理、汤沟河治理工程、县城防洪安保工程高效实施，幕旗山站、湖东新站正式投运。“智慧城市”改造项目扎实开展，建设5G基站64个，白浙特高压、合池高铁等一批新基建项目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ind w:firstLine="643" w:firstLineChars="200"/>
        <w:textAlignment w:val="baseline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生态文明持续推进。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以“双碳”目标为引领，全面排查“两高”项目。强势推进枞阳绿色能源基地建设，获得新能源竞配指标490MW、占全省十分之一，与阳光电源公司深化合作，多能互补一体化试点纳入省可再生能源发展“十四五”规划，整县屋顶光伏规模化开发有序推进。攻坚突出生态环境问题整改，横埠污水处理厂突出问题完成整改并通过验收,第二轮中央生态环保督察反馈问题整改工作扎实推进。环境质量持续改善，空气质量综合指数位居全市第一，全县主要水体水质保持在三类以上，获水环境生态补偿资金250万，土壤环境质量状况良好，万华板业获批国家级大宗固体废弃物综合利用骨干企业。出台《枞阳县生态环境保护责任清单》，推深做实河湖长制、林长制，建立全县环境专项监督长制度体系。长江“十年禁渔”落实落细，美丽长江枞阳经济带加速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（五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）全力以赴抓民生改善，社会事业谱写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更美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公共服务均衡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县医院外科综合大楼、感染病区、精神病区、中医院中西医结合及传染病区、医养结合等五大公共卫生补短板项目建设全面启动，乡村医疗卫生服务能力提升“百千万”工程扎实开展。成功建立“省县医联体”。教育现代化加快推进。国家义务教育质量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监</w:t>
      </w:r>
      <w:r>
        <w:rPr>
          <w:rFonts w:hint="eastAsia" w:ascii="仿宋" w:hAnsi="仿宋" w:eastAsia="仿宋"/>
          <w:color w:val="auto"/>
          <w:sz w:val="32"/>
          <w:szCs w:val="32"/>
        </w:rPr>
        <w:t>测工作顺利完成，二中东校区投入使用，无证幼儿园治理、学前教育提升工程、枞阳县职业技术学校搬迁有序实施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获2021年农村劳动力转移就业实训基地建设项目资金补助。积极争创全国科普示范县，</w:t>
      </w:r>
      <w:r>
        <w:rPr>
          <w:rFonts w:hint="eastAsia" w:ascii="仿宋" w:hAnsi="仿宋" w:eastAsia="仿宋"/>
          <w:color w:val="auto"/>
          <w:sz w:val="32"/>
          <w:szCs w:val="32"/>
        </w:rPr>
        <w:t>全省首家小型航天专题馆正式开馆。全县应急广播体系建设全面完成，实现省市县乡村五级贯通。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3" w:firstLineChars="200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民生福祉显著增强。</w:t>
      </w:r>
      <w:r>
        <w:rPr>
          <w:rFonts w:hint="eastAsia" w:ascii="仿宋" w:hAnsi="仿宋" w:eastAsia="仿宋"/>
          <w:color w:val="auto"/>
          <w:sz w:val="32"/>
          <w:szCs w:val="32"/>
        </w:rPr>
        <w:t>精准</w:t>
      </w:r>
      <w:r>
        <w:rPr>
          <w:rFonts w:ascii="仿宋" w:hAnsi="仿宋" w:eastAsia="仿宋"/>
          <w:color w:val="auto"/>
          <w:sz w:val="32"/>
          <w:szCs w:val="32"/>
        </w:rPr>
        <w:t>实施31项民生工程，全年投入资金17.99亿元，其中县级财政配套2.61亿元。</w:t>
      </w:r>
      <w:r>
        <w:rPr>
          <w:rFonts w:hint="eastAsia" w:ascii="仿宋" w:hAnsi="仿宋" w:eastAsia="仿宋"/>
          <w:color w:val="auto"/>
          <w:sz w:val="32"/>
          <w:szCs w:val="32"/>
        </w:rPr>
        <w:t>新增城镇就业5300人，失业率控制在3.2%以内。深入实施参保扩面工作，城乡居民社会养老保险、失业保险、工伤保险参保人数分别达25.92万人、1.9万人、2.47万人。健全退役军人服务保障体系，扎实落实各项优抚保障，统筹退役士兵安置，服务管理水平有效提升。农村自来水并网改造跟踪推进，全县城乡主管网覆盖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2021年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仿宋" w:hAnsi="仿宋" w:eastAsia="仿宋"/>
          <w:color w:val="auto"/>
          <w:sz w:val="32"/>
          <w:szCs w:val="32"/>
        </w:rPr>
        <w:t>经济社会运行总体向好，但也存在着一些突出问题。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宏观经济面临需求收缩、供给冲击、预期转弱三重压力的影响，下行压力不断加大。</w:t>
      </w:r>
      <w:r>
        <w:rPr>
          <w:rFonts w:hint="eastAsia" w:ascii="仿宋" w:hAnsi="仿宋" w:eastAsia="仿宋"/>
          <w:color w:val="auto"/>
          <w:sz w:val="32"/>
          <w:szCs w:val="32"/>
        </w:rPr>
        <w:t>面对新发展阶段的重大使命，我县发展不平衡不充分问题仍然突出。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主要表现在：</w:t>
      </w:r>
      <w:r>
        <w:rPr>
          <w:rFonts w:hint="eastAsia" w:ascii="仿宋" w:hAnsi="仿宋" w:eastAsia="仿宋"/>
          <w:color w:val="auto"/>
          <w:sz w:val="32"/>
          <w:szCs w:val="32"/>
        </w:rPr>
        <w:t>综合实力偏弱，经济体量小，牵动性强的大项目、好项目不多，科技创新支撑高质量发展的动能不足；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协调发展任务偏重，</w:t>
      </w:r>
      <w:r>
        <w:rPr>
          <w:rFonts w:hint="eastAsia" w:ascii="仿宋" w:hAnsi="仿宋" w:eastAsia="仿宋"/>
          <w:color w:val="auto"/>
          <w:sz w:val="32"/>
          <w:szCs w:val="32"/>
        </w:rPr>
        <w:t>基础设施、要素保障等瓶颈制约依然突出，民生改善、社会治理、生态环保等领域短板较多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针对以上问题，我们将坚持问题导向和目标导向，有针对性地采取措施，敢于同先进比高下，敢于同自己过不去，挑重担子、啃硬骨头，不畏困难、砥砺奋进，奋力推动全县经济社会高质量发展。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魏碑简体" w:hAnsi="方正魏碑简体" w:eastAsia="方正魏碑简体" w:cs="方正魏碑简体"/>
          <w:color w:val="auto"/>
          <w:sz w:val="36"/>
          <w:szCs w:val="36"/>
        </w:rPr>
      </w:pPr>
      <w:r>
        <w:rPr>
          <w:rFonts w:hint="eastAsia" w:ascii="方正魏碑简体" w:hAnsi="方正魏碑简体" w:eastAsia="方正魏碑简体" w:cs="方正魏碑简体"/>
          <w:color w:val="auto"/>
          <w:sz w:val="36"/>
          <w:szCs w:val="36"/>
        </w:rPr>
        <w:t>二、2022年国民经济和社会发展计划及重点工作安排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注定不凡，我国经济在“双循环”新发展格局、双碳目标、共同富裕的长期战略规划导向下，有望启动新一轮需求结构的全面优化，潜在的政策空间有望推动我国2022年维持高质量稳定增长。为体现实现第二个百年奋斗目标的战略安排，体现县委、县政府“十四五”及2035年的锚定目标，建议2022年全县经济社会发展主要指标安排如下：</w:t>
      </w:r>
    </w:p>
    <w:p>
      <w:pPr>
        <w:jc w:val="center"/>
        <w:outlineLvl w:val="0"/>
        <w:rPr>
          <w:rFonts w:hint="eastAsia" w:ascii="楷体" w:hAnsi="楷体" w:eastAsia="楷体" w:cs="Times New Roman"/>
          <w:b/>
          <w:bCs/>
          <w:color w:val="auto"/>
          <w:w w:val="9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90"/>
          <w:kern w:val="0"/>
          <w:sz w:val="28"/>
          <w:szCs w:val="28"/>
        </w:rPr>
        <w:t>专栏</w:t>
      </w:r>
      <w:r>
        <w:rPr>
          <w:rFonts w:ascii="Times New Roman" w:hAnsi="Times New Roman" w:eastAsia="楷体" w:cs="楷体"/>
          <w:b/>
          <w:bCs/>
          <w:color w:val="auto"/>
          <w:w w:val="90"/>
          <w:kern w:val="0"/>
          <w:sz w:val="28"/>
          <w:szCs w:val="28"/>
        </w:rPr>
        <w:t>2</w:t>
      </w:r>
      <w:r>
        <w:rPr>
          <w:rFonts w:hint="eastAsia" w:ascii="楷体" w:hAnsi="楷体" w:eastAsia="楷体" w:cs="楷体"/>
          <w:b/>
          <w:bCs/>
          <w:color w:val="auto"/>
          <w:w w:val="90"/>
          <w:kern w:val="0"/>
          <w:sz w:val="28"/>
          <w:szCs w:val="28"/>
        </w:rPr>
        <w:t>：</w:t>
      </w:r>
      <w:r>
        <w:rPr>
          <w:rFonts w:ascii="Times New Roman" w:hAnsi="Times New Roman" w:eastAsia="楷体" w:cs="楷体"/>
          <w:b/>
          <w:bCs/>
          <w:color w:val="auto"/>
          <w:w w:val="90"/>
          <w:kern w:val="0"/>
          <w:sz w:val="28"/>
          <w:szCs w:val="28"/>
        </w:rPr>
        <w:t>20</w:t>
      </w:r>
      <w:r>
        <w:rPr>
          <w:rFonts w:hint="eastAsia" w:ascii="Times New Roman" w:hAnsi="Times New Roman" w:eastAsia="楷体" w:cs="楷体"/>
          <w:b/>
          <w:bCs/>
          <w:color w:val="auto"/>
          <w:w w:val="90"/>
          <w:kern w:val="0"/>
          <w:sz w:val="28"/>
          <w:szCs w:val="28"/>
        </w:rPr>
        <w:t>22</w:t>
      </w:r>
      <w:r>
        <w:rPr>
          <w:rFonts w:hint="eastAsia" w:ascii="楷体" w:hAnsi="楷体" w:eastAsia="楷体" w:cs="楷体"/>
          <w:b/>
          <w:bCs/>
          <w:color w:val="auto"/>
          <w:w w:val="90"/>
          <w:kern w:val="0"/>
          <w:sz w:val="28"/>
          <w:szCs w:val="28"/>
        </w:rPr>
        <w:t>年国民经济和社会发展主要指标计划（草案）</w:t>
      </w:r>
    </w:p>
    <w:tbl>
      <w:tblPr>
        <w:tblStyle w:val="10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948"/>
        <w:gridCol w:w="948"/>
        <w:gridCol w:w="150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指标名称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单位</w:t>
            </w:r>
          </w:p>
        </w:tc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总量</w:t>
            </w:r>
          </w:p>
        </w:tc>
        <w:tc>
          <w:tcPr>
            <w:tcW w:w="1508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增长（</w:t>
            </w:r>
            <w:r>
              <w:rPr>
                <w:rFonts w:ascii="Calibri" w:hAnsi="Calibri"/>
                <w:b/>
                <w:bCs/>
                <w:color w:val="auto"/>
                <w:kern w:val="0"/>
              </w:rPr>
              <w:t>%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）</w:t>
            </w: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cs="Times New Roman"/>
                <w:b/>
                <w:bCs/>
                <w:color w:val="auto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指标属性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一、地区生产总值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黑体" w:cs="Times New Roman"/>
                <w:color w:val="auto"/>
                <w:kern w:val="0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lang w:val="en-US" w:eastAsia="zh-CN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二、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  <w:lang w:val="en-US" w:eastAsia="zh-CN"/>
              </w:rPr>
              <w:t>地方</w:t>
            </w: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一般预算收入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 xml:space="preserve"> 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12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三、规模工业总产值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8以上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 xml:space="preserve">四、战略性新兴产业产值 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color w:val="auto"/>
                <w:kern w:val="0"/>
              </w:rPr>
              <w:t xml:space="preserve"> 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en-US" w:eastAsia="zh-CN"/>
              </w:rPr>
              <w:t>20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五、固定资产投资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lang w:val="en-US" w:eastAsia="zh-CN"/>
              </w:rPr>
              <w:t>15以上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六、社会消费品零售总额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lang w:val="en-US" w:eastAsia="zh-CN"/>
              </w:rPr>
              <w:t>106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.5以上</w:t>
            </w: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七、外贸进出口总额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万美元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lang w:val="en-US" w:eastAsia="zh-CN"/>
              </w:rPr>
              <w:t>2592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八、</w:t>
            </w:r>
            <w:r>
              <w:rPr>
                <w:rFonts w:hint="eastAsia" w:ascii="Calibri" w:hAnsi="Calibri" w:cs="宋体"/>
                <w:b/>
                <w:bCs/>
                <w:color w:val="auto"/>
                <w:spacing w:val="-10"/>
                <w:kern w:val="0"/>
              </w:rPr>
              <w:t>农村常住居民可支配收入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高于全省平均水平</w:t>
            </w:r>
            <w:r>
              <w:rPr>
                <w:rFonts w:hint="eastAsia" w:ascii="宋体" w:hAnsi="宋体" w:cs="Times New Roman"/>
                <w:color w:val="auto"/>
              </w:rPr>
              <w:t xml:space="preserve"> </w:t>
            </w: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九、招商引资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其中：利用外资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万美元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</w:rPr>
              <w:t>6900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　　　在建项目到位资金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  <w:r>
              <w:rPr>
                <w:rFonts w:hint="eastAsia" w:ascii="Calibri" w:hAnsi="Calibri" w:cs="宋体"/>
                <w:color w:val="auto"/>
                <w:kern w:val="0"/>
              </w:rPr>
              <w:t>亿元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</w:rPr>
              <w:t>95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auto"/>
                <w:kern w:val="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vAlign w:val="center"/>
          </w:tcPr>
          <w:p>
            <w:pPr>
              <w:widowControl/>
              <w:spacing w:line="400" w:lineRule="exact"/>
              <w:rPr>
                <w:rFonts w:ascii="Calibri" w:hAnsi="Calibri" w:cs="Times New Roman"/>
                <w:b/>
                <w:bCs/>
                <w:color w:val="auto"/>
                <w:kern w:val="0"/>
              </w:rPr>
            </w:pPr>
            <w:r>
              <w:rPr>
                <w:rFonts w:hint="eastAsia" w:ascii="Calibri" w:hAnsi="Calibri" w:cs="宋体"/>
                <w:b/>
                <w:bCs/>
                <w:color w:val="auto"/>
                <w:kern w:val="0"/>
              </w:rPr>
              <w:t>十、节能减排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Calibri" w:hAnsi="Calibri" w:cs="Times New Roman"/>
                <w:color w:val="auto"/>
                <w:kern w:val="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完成省、市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控制目标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</w:rPr>
              <w:t>约束性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实现上述目标，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贯彻党的十九大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十九届历次全会精神，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深入落实习近平总书记对安徽作出的系列重要讲话指示批示，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弘扬伟大建党精神，坚持稳字当头、稳中求进，完整、准确、全面贯彻新发展理念，服务和融入新发展格局，以推动高质量发展为主题，以深化供给侧结构性改革为主线，以改革创新为根本动力，以满足人民日益增长的美好生活需要为根本目的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统筹疫情防控和经济社会发展，</w:t>
      </w:r>
      <w:r>
        <w:rPr>
          <w:rFonts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继续做好“六稳”“六保”工作，持续改善民生，保持经济运行在合理区间，保持社会大局稳定，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共同谱写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现代化美好枞阳建设新篇章。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重点做好以下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方面工作。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  <w:shd w:val="clear" w:color="auto" w:fill="auto"/>
        </w:rPr>
      </w:pPr>
      <w:r>
        <w:rPr>
          <w:rFonts w:ascii="楷体" w:hAnsi="楷体" w:eastAsia="楷体" w:cs="楷体"/>
          <w:b/>
          <w:color w:val="auto"/>
          <w:sz w:val="32"/>
          <w:szCs w:val="32"/>
          <w:shd w:val="clear" w:color="auto" w:fill="auto"/>
        </w:rPr>
        <w:t>(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auto"/>
        </w:rPr>
        <w:t>一)坚持项目为王，撬动发展新引擎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shd w:val="clear" w:color="auto" w:fill="auto"/>
        </w:rPr>
        <w:t>推进项目管理精细化。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坚定“发展为要、项目为王、实干为先”导向，围绕全省高质量投资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赛马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激励机制，充分发挥投资的关键作用，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坚决打响有效投资攻坚战，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进一步扩大投资规模，优化投资结构。纵深推进重大项目攻坚年活动，强力推进临江产业园、引江济淮等重大项目建设。重点推进2022年省市重点项目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个，完成年度计划投资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130.9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亿元。完善“县领导领衔、清单化落实、闭环式管理、专班制推进、小切口调度”等机制，加大项目前期统筹力度，力争早开工、快开工、多开工；加大在建项目协调力度，全力推动在建项目提速放量，跑出项目建设“加速度”。紧扣中央投资、省市专项资金投向，精准建立重大项目谋划储备清单，确保对上争取“有的报，报的走，可获批”。</w:t>
      </w:r>
    </w:p>
    <w:tbl>
      <w:tblPr>
        <w:tblStyle w:val="10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7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outlineLvl w:val="3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专栏3  ：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kern w:val="0"/>
                <w:sz w:val="32"/>
                <w:szCs w:val="32"/>
              </w:rPr>
              <w:t>2022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年重点项目建设计划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  <w:jc w:val="center"/>
        </w:trPr>
        <w:tc>
          <w:tcPr>
            <w:tcW w:w="8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编制2022年省市重点项目计划项目个数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131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130.91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按建设阶段分：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续建项目4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85.27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亿元，分别占总量的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37.4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%；新开工项目3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45.64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亿元，分别占总量的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24.4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%。储备项目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个，占项目总数的3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%，总投资规模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482.51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按所属行业分：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工业项目51个，年度计划投资4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4.7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亿元，占比分别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38.93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%和3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4.15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%。交通及城乡基础设施项目3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33.45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亿元，占比分别为2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5.96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%和2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5.55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%。社会事业项目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亿元，占比分别为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5.34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4.15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%。服务业项目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4.35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亿元，占比分别为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9.16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%和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3.32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%。农业水利项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26.32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亿元，占比分别为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16.03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20.11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%。房地产开发项目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个，年度计划投资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16.65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亿元，占比分别为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4.58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%和1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.7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ascii="楷体" w:hAnsi="楷体" w:eastAsia="楷体" w:cs="楷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按项目总投资分：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10亿元（含10亿元）以上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续建项目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个、新开工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个，5亿元以上（10亿元以下）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续建项目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8个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、新开工项目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推进招商引资实效化。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紧盯</w:t>
      </w:r>
      <w:r>
        <w:rPr>
          <w:rFonts w:hint="eastAsia" w:ascii="仿宋" w:hAnsi="仿宋" w:eastAsia="仿宋" w:cs="仿宋"/>
          <w:color w:val="auto"/>
          <w:sz w:val="32"/>
        </w:rPr>
        <w:t>省十大新兴产业，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发力</w:t>
      </w:r>
      <w:r>
        <w:rPr>
          <w:rFonts w:hint="eastAsia" w:ascii="仿宋" w:hAnsi="仿宋" w:eastAsia="仿宋" w:cs="仿宋"/>
          <w:color w:val="auto"/>
          <w:sz w:val="32"/>
        </w:rPr>
        <w:t>新材料、新能源和节能环保等新兴产业领域，坚定不移强化“链长制”招引，走实驻点招商、以商招商等常规“步法”，用好基金招商、资本招商创新“打法”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</w:rPr>
        <w:t>进一步完善产业链招商图谱，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提高招引项目门槛，</w:t>
      </w:r>
      <w:r>
        <w:rPr>
          <w:rFonts w:hint="eastAsia" w:ascii="仿宋" w:hAnsi="仿宋" w:eastAsia="仿宋" w:cs="仿宋"/>
          <w:color w:val="auto"/>
          <w:sz w:val="32"/>
        </w:rPr>
        <w:t>全力以赴推进产业链提质扩量增效。2022年，全年新签约、新开工亿元以上产业项目均不少于30个，到位资金95亿元以上，利用外资6900万美元以上。坚持重大项目专责制，</w:t>
      </w:r>
      <w:r>
        <w:rPr>
          <w:rFonts w:hint="eastAsia" w:ascii="仿宋" w:hAnsi="仿宋" w:eastAsia="仿宋" w:cs="仿宋"/>
          <w:color w:val="auto"/>
          <w:spacing w:val="6"/>
          <w:sz w:val="32"/>
        </w:rPr>
        <w:t>全面落实分析调度机制，</w:t>
      </w:r>
      <w:r>
        <w:rPr>
          <w:rFonts w:hint="eastAsia" w:ascii="仿宋" w:hAnsi="仿宋" w:eastAsia="仿宋" w:cs="仿宋"/>
          <w:color w:val="auto"/>
          <w:spacing w:val="6"/>
          <w:sz w:val="32"/>
          <w:lang w:val="en-US" w:eastAsia="zh-CN"/>
        </w:rPr>
        <w:t>全力以赴</w:t>
      </w:r>
      <w:r>
        <w:rPr>
          <w:rFonts w:hint="eastAsia" w:ascii="仿宋" w:hAnsi="仿宋" w:eastAsia="仿宋" w:cs="仿宋"/>
          <w:color w:val="auto"/>
          <w:sz w:val="32"/>
        </w:rPr>
        <w:t>提高项目开工率、达产率和资金到位率。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推进基础设施现代化。</w:t>
      </w:r>
      <w:r>
        <w:rPr>
          <w:rFonts w:hint="eastAsia" w:ascii="仿宋" w:hAnsi="仿宋" w:eastAsia="仿宋" w:cs="仿宋"/>
          <w:color w:val="auto"/>
          <w:sz w:val="32"/>
        </w:rPr>
        <w:t>加快实现通道互联畅达，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完成交通投资18亿元。</w:t>
      </w:r>
      <w:r>
        <w:rPr>
          <w:rFonts w:hint="eastAsia" w:ascii="仿宋" w:hAnsi="仿宋" w:eastAsia="仿宋" w:cs="仿宋"/>
          <w:color w:val="auto"/>
          <w:sz w:val="32"/>
        </w:rPr>
        <w:t>建成德上高速枞阳段，G237会宫至官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埠</w:t>
      </w:r>
      <w:r>
        <w:rPr>
          <w:rFonts w:hint="eastAsia" w:ascii="仿宋" w:hAnsi="仿宋" w:eastAsia="仿宋" w:cs="仿宋"/>
          <w:color w:val="auto"/>
          <w:sz w:val="32"/>
        </w:rPr>
        <w:t>桥段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</w:rPr>
        <w:t>开工建设天天高速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枞阳段</w:t>
      </w:r>
      <w:r>
        <w:rPr>
          <w:rFonts w:hint="eastAsia" w:ascii="仿宋" w:hAnsi="仿宋" w:eastAsia="仿宋" w:cs="仿宋"/>
          <w:color w:val="auto"/>
          <w:sz w:val="32"/>
        </w:rPr>
        <w:t>、S228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枞阳至安庆段</w:t>
      </w:r>
      <w:r>
        <w:rPr>
          <w:rFonts w:hint="eastAsia" w:ascii="仿宋" w:hAnsi="仿宋" w:eastAsia="仿宋" w:cs="仿宋"/>
          <w:color w:val="auto"/>
          <w:sz w:val="32"/>
        </w:rPr>
        <w:t>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继</w:t>
      </w:r>
      <w:r>
        <w:rPr>
          <w:rFonts w:hint="eastAsia" w:ascii="仿宋" w:hAnsi="仿宋" w:eastAsia="仿宋" w:cs="仿宋"/>
          <w:color w:val="auto"/>
          <w:sz w:val="32"/>
        </w:rPr>
        <w:t>续推进S232白柳至会宫段、G330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枞阳</w:t>
      </w:r>
      <w:r>
        <w:rPr>
          <w:rFonts w:hint="eastAsia" w:ascii="仿宋" w:hAnsi="仿宋" w:eastAsia="仿宋" w:cs="仿宋"/>
          <w:color w:val="auto"/>
          <w:sz w:val="32"/>
        </w:rPr>
        <w:t>段建设。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建成</w:t>
      </w:r>
      <w:r>
        <w:rPr>
          <w:rFonts w:hint="eastAsia" w:ascii="仿宋" w:hAnsi="仿宋" w:eastAsia="仿宋" w:cs="仿宋"/>
          <w:color w:val="auto"/>
          <w:sz w:val="32"/>
        </w:rPr>
        <w:t>“四好农村路”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233公里</w:t>
      </w:r>
      <w:r>
        <w:rPr>
          <w:rFonts w:hint="eastAsia" w:ascii="仿宋" w:hAnsi="仿宋" w:eastAsia="仿宋" w:cs="仿宋"/>
          <w:color w:val="auto"/>
          <w:sz w:val="32"/>
        </w:rPr>
        <w:t>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推进水电路气网物流等基础设施往村覆盖、往户延伸。</w:t>
      </w:r>
      <w:r>
        <w:rPr>
          <w:rFonts w:hint="eastAsia" w:ascii="仿宋" w:hAnsi="仿宋" w:eastAsia="仿宋" w:cs="仿宋"/>
          <w:color w:val="auto"/>
          <w:sz w:val="32"/>
        </w:rPr>
        <w:t>全力配合推进江北港铁路专用线建设，推进合池铁路前期。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加快引江济淮工程建设，开工建设</w:t>
      </w:r>
      <w:r>
        <w:rPr>
          <w:rFonts w:hint="eastAsia" w:ascii="仿宋" w:hAnsi="仿宋" w:eastAsia="仿宋" w:cs="仿宋"/>
          <w:color w:val="auto"/>
          <w:sz w:val="32"/>
        </w:rPr>
        <w:t>小港航道。加快实现水利平安高效，完成水利建设投资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</w:rPr>
        <w:t>亿元，推进罗昌河钱桥段和</w:t>
      </w:r>
      <w:r>
        <w:rPr>
          <w:rFonts w:hint="eastAsia" w:ascii="SimSun-ExtB" w:hAnsi="SimSun-ExtB" w:eastAsia="SimSun-ExtB" w:cs="SimSun-ExtB"/>
          <w:color w:val="auto"/>
          <w:sz w:val="32"/>
          <w:szCs w:val="32"/>
        </w:rPr>
        <w:t>𠙶</w:t>
      </w:r>
      <w:r>
        <w:rPr>
          <w:rFonts w:hint="eastAsia" w:ascii="仿宋" w:hAnsi="仿宋" w:eastAsia="仿宋" w:cs="仿宋"/>
          <w:color w:val="auto"/>
          <w:sz w:val="32"/>
        </w:rPr>
        <w:t>山段、引江济淮菜子湖影响处理二期等工程，开工建设立新水库扩建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</w:rPr>
        <w:t>罗昌河会宫上下段堤防加固、横埠河横埠大畈段堤防加固、易涝区5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座</w:t>
      </w:r>
      <w:r>
        <w:rPr>
          <w:rFonts w:hint="eastAsia" w:ascii="仿宋" w:hAnsi="仿宋" w:eastAsia="仿宋" w:cs="仿宋"/>
          <w:color w:val="auto"/>
          <w:sz w:val="32"/>
        </w:rPr>
        <w:t>排涝泵站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改造</w:t>
      </w:r>
      <w:r>
        <w:rPr>
          <w:rFonts w:hint="eastAsia" w:ascii="仿宋" w:hAnsi="仿宋" w:eastAsia="仿宋" w:cs="仿宋"/>
          <w:color w:val="auto"/>
          <w:sz w:val="32"/>
        </w:rPr>
        <w:t>等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</w:rPr>
        <w:t>。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加快实现乡村电气化，</w:t>
      </w:r>
      <w:r>
        <w:rPr>
          <w:rFonts w:hint="eastAsia" w:ascii="仿宋" w:hAnsi="仿宋" w:eastAsia="仿宋" w:cs="仿宋"/>
          <w:color w:val="auto"/>
          <w:sz w:val="32"/>
        </w:rPr>
        <w:t>完成电力投资6亿元。开工建设220千伏古塘变，建成投运白鹤滩-浙江±800千伏特高压直流输电线路枞阳段、110千伏汤沟变，继续升级改造农村电网。</w:t>
      </w:r>
    </w:p>
    <w:p>
      <w:pPr>
        <w:pStyle w:val="2"/>
        <w:spacing w:before="0" w:after="0" w:line="560" w:lineRule="exact"/>
        <w:jc w:val="center"/>
        <w:rPr>
          <w:color w:val="auto"/>
        </w:rPr>
      </w:pPr>
      <w:r>
        <w:rPr>
          <w:rFonts w:hint="eastAsia" w:ascii="楷体" w:hAnsi="楷体" w:eastAsia="楷体" w:cs="楷体"/>
          <w:color w:val="auto"/>
          <w:kern w:val="0"/>
        </w:rPr>
        <w:t>专栏4 ：</w:t>
      </w:r>
      <w:r>
        <w:rPr>
          <w:rFonts w:hint="eastAsia" w:ascii="Times New Roman" w:hAnsi="Times New Roman" w:eastAsia="楷体" w:cs="楷体"/>
          <w:color w:val="auto"/>
          <w:kern w:val="0"/>
        </w:rPr>
        <w:t>2022</w:t>
      </w:r>
      <w:r>
        <w:rPr>
          <w:rFonts w:hint="eastAsia" w:ascii="楷体" w:hAnsi="楷体" w:eastAsia="楷体" w:cs="楷体"/>
          <w:color w:val="auto"/>
          <w:kern w:val="0"/>
        </w:rPr>
        <w:t>年交通、水利基础设施重点建设项目</w:t>
      </w:r>
    </w:p>
    <w:tbl>
      <w:tblPr>
        <w:tblStyle w:val="11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5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3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续建项目：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江北港铁路专用线、S232白湖至会宫段一级公路改建、G237会宫至官埠桥段一级公路改建工程、G330国道改造（一期）钱铺段、德上高速枞阳段、枞阳县沿江易涝区泵站圩内配套工程、枞阳县城防洪安保提升工程、枞阳县城区水环境综合治理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引江济淮工程枞阳段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3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新开工项目：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天天高速（铜陵段）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、枞阳旅游公路建设、横埠河横埠大畈段堤防加固工程、引江济淮工程枞阳小港航道工程、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罗昌河会宫上、下段堤防加固工程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宋体" w:cs="楷体"/>
                <w:b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待转化项目：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枞阳枢纽港、G237桐城至会宫段一级公路改建工程、S335东延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S228安庆至枞阳一级公路改建工程工程（枞阳段）、枞阳县中小河流治理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、大砥含站拆扩建工程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等。</w:t>
            </w:r>
          </w:p>
        </w:tc>
      </w:tr>
    </w:tbl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（二）坚持创新驱动，厚植产业新优势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全力推进工业提振。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坚定实施工业强县战略，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坚决落实二产“提质扩量增效”行动计划，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加快构建首位产业为引领、主导产业为支撑、特色产业全面发展的“2+4+X”产业地标。全年力争新增规上工业企业2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战新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高新企业各5家，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战新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高新产业产值分别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增长20%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。进一步优化铝基新材料产业，加快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经开区、金誉、光华铝基新材料产业园等重点项目。进一步壮大家居智造产业，建好省级绿色家居智造特色产业集群，加快推进南京柏林、盛世开来等定制家居项目建设。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升级纺织服装产业，加快推动华茂织造产业园建设，促进玉堂伪装防护用品及装备制造等项目投产达效。进一步提升汽车零部件产业，加快建设锂电池PACK基地等项目。进一步延伸新能源产业链。深化与阳光电源合作，全面启动安徽枞阳阳光产业基地建设，同步推进碲化镉发电玻璃等项目。进一步优化整合矿山企业，加快推进中建材项目，争创国家级绿色矿业发展示范区。加快枞阳油料分库整体搬迁，推进年产220万吨水泥粉磨站项目建设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全力推进科技提能。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围绕双首位产业发展，强化技术、资金、人才等创新要素集聚，打造创新驱动新引擎，采取“政府支持、企业参与、市场运作”方式，做深转化平台，管好用好安徽工业大学枞阳工业技术研究中心，启动与南京林业大学产学研合作。强化科技创新，新增高价值发明专利18件，申报省市科技专项5项以上，争创省“一室一中心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培育数字化车间、智能工厂3个以上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“专精特新”中小企业5家，两化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融合企业2家，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安徽工业精品1个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推进“三重一创”建设，做精做深铝基重大工程，积极创建铝基新材料重大新兴产业基地。坚持“以才荐才、以才引才、以才聚才”，力争引进高层次科技人才团队2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napToGrid w:val="0"/>
        <w:spacing w:line="560" w:lineRule="exact"/>
        <w:jc w:val="center"/>
        <w:rPr>
          <w:rFonts w:ascii="楷体" w:hAnsi="楷体" w:eastAsia="楷体" w:cs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专栏 5 ：2022年制造业重点建设项目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outlineLvl w:val="3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续建项目：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铝基新材料产业园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中国（枞阳）绿色大家居智造产业园（一期）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大中润精准医疗高端装备园、锂电池包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PACK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生产线、智能交通高端装备智造、铝制车用空调零部件、新能源汽车电池冷却零部件生产等。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3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新开工项目：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年产10万吨焊接液压缸用缸筒暨高端装备制造产业园、华茂织造产业园（年产1亿米高档面料）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年产1200万套家电铝制零部件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铝（铜）基特种防腐耐火电线电缆生产、液晶显示模组和触控屏总成、年产110万吨水泥粉磨及配套工程等。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楷体" w:hAnsi="楷体" w:eastAsia="宋体" w:cs="楷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待转化项目：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锂离子动力电池生产项目（一期）、新家装高端智能制造产业基地、年产100兆瓦碲化镉玻璃、新型建材仓储转运精加工生产线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、年产100万套户外帐篷、拉管及支架、年产100万平方米全屋定制家居生产、涂装金属材料生产（二期）、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防护用品加工产业园、年产2500万片PCS（模组）生产等。</w:t>
            </w: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全力推进农业提质。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深入实施藏粮于地、藏粮于技战略，巩固提升粮食和生猪产能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粮食播种面积稳定在111.9万亩，总产51.6万吨。加速推进新六、荷景生猪项目建成投产，推动生猪生产转型升级。加快高标准农田建设进度，建设高标准农田7万亩。开展全程机械化示范县创建，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推进机械强农。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积极创建现代农业产业园区和示范园区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加快推进农业科技产业园一期、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有机地标数字农业产业园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大力推进畜禽粪污资源化利用、秸秆综合利用产业化发展。加大农业面源污染治理力度，全面推广绿色生产技术。深化农产品质量安全专项整治行动，加快推进农业标准化生产和农产品质量安全追溯体系建设，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三品一标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产品15个。深入实施农产品加工业“五个一批”工程，加强农业强镇、强园、强企建设。实施农产品仓储保鲜冷链物流设施建设工程，建设农产品仓储保鲜冷链物流设施6个。大力培育家庭农场、农民合作社、村级供销社等新型农业经营主体，新增家庭农场40个、农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合作社5个、村级供销社12个。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（三）坚持开放共进，全面融入新格局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积极融入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长三角一体化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发展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以加快打造“两地两区”为主要抓手，全面融入长三角产业分工协作体系，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与江阴市、临港经开区、相城经开区建立紧密型、互补型合作关系，加快“1+1+N”共建步伐。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枞阳经开区挂牌第二批省际合作园区。支持县域企业与长三角大院大所深化合作，申报一批长三角科技创新联合攻关项目。深入实施“158”行动计划，新增长三角绿色农产品生产加工供应基地2个，全力推进光明乳业落户枞阳。全面推进县域通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实现就业创业等47项高频事项“跨省通办”，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加快“长三角”政务服务一体化。</w:t>
      </w:r>
    </w:p>
    <w:p>
      <w:pPr>
        <w:widowControl/>
        <w:snapToGrid w:val="0"/>
        <w:spacing w:line="560" w:lineRule="exact"/>
        <w:ind w:firstLine="643" w:firstLineChars="200"/>
        <w:rPr>
          <w:color w:val="auto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大力发展现代服务业。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着力激活商贸流通，充分挖掘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县乡消费潜力，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加强限上商贸流通企业培育，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鼓励零售企业融合线上平台和线下门店，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确保全县社会消费品零售总额增长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%以上、新增限上商贸单位10家以上。继续推进国家电子商务进农村综合示范县建设，巩固提升“小枞”“e见枞情”品牌影响力，农产品网络交易额增长15%以上。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着力增数量、提质量，实施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旗山电子商务园服务业集聚区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升级行动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。着力激发文旅活力，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持续推进国家全域旅游示范区创建工作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。加快推进上码头古城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乡村振兴旅游富民示范区建设，建成“半马公路”。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深化与景域驴妈妈合作，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持续推进浮山景区创建国家5A级景区，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申报一批国家3A级景区。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深化与功夫动漫合作，打造县域“西游文化”IP，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提升、开发一批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旅游精品线路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tbl>
      <w:tblPr>
        <w:tblStyle w:val="10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89" w:type="dxa"/>
            <w:tcBorders>
              <w:top w:val="nil"/>
              <w:left w:val="nil"/>
              <w:right w:val="nil"/>
            </w:tcBorders>
          </w:tcPr>
          <w:p>
            <w:pPr>
              <w:spacing w:line="520" w:lineRule="exact"/>
              <w:jc w:val="center"/>
              <w:outlineLvl w:val="3"/>
              <w:rPr>
                <w:rFonts w:ascii="楷体" w:hAnsi="楷体" w:eastAsia="楷体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专栏6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kern w:val="0"/>
                <w:sz w:val="32"/>
                <w:szCs w:val="32"/>
              </w:rPr>
              <w:t>2022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年服务业重点建设项目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189" w:type="dxa"/>
            <w:vAlign w:val="center"/>
          </w:tcPr>
          <w:p>
            <w:pPr>
              <w:spacing w:line="410" w:lineRule="exact"/>
              <w:outlineLvl w:val="3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续建项目：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农产品综合物流产业园农贸市场及和盛首府、物流配送中心及绿色农产品加工批发示范园、农民工返乡创业园（二期）、G347汤沟加油站等。</w:t>
            </w:r>
          </w:p>
          <w:p>
            <w:pPr>
              <w:spacing w:line="410" w:lineRule="exact"/>
              <w:outlineLvl w:val="3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新开工项目：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乡村振兴旅游富民示范区、融湖商业中心、枞阳城市IP项目等。</w:t>
            </w:r>
          </w:p>
          <w:p>
            <w:pPr>
              <w:spacing w:line="410" w:lineRule="exact"/>
              <w:outlineLvl w:val="3"/>
              <w:rPr>
                <w:rFonts w:ascii="仿宋" w:hAnsi="仿宋" w:eastAsia="仿宋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待转化项目：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车富岛候鸟观景园、上码头文旅集聚区、水上服务区（综合补给服务趸船）建设、枞阳县大型商超连锁店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雨坛茶博园等。</w:t>
            </w:r>
          </w:p>
        </w:tc>
      </w:tr>
    </w:tbl>
    <w:p>
      <w:pPr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（四）坚持深化改革，积蓄发展新动能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进一步做强园区平台“主战场”。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优孵化平台，发挥海贝智能制造产业基金和中创孵化器公司产业引导作用，培育孵化一批科创类企业。善用资本力量，紧盯资本市场直接融资，制定出台经开区支持企业上市政策十条，推动重点企业加快上市步伐。完善基础配套，推进园区整体投资建设运营一体化，协同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经开区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铝基产业园、家居智造产业园、人才公寓等重点项目。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加快征迁进度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，围绕四大园区，紧盯重点地块，年度交付净地2000亩以上。培育发展动能，因企所需实施好工业项目“承诺即开工”机制，重点推动华茂织造产业园、铝基特种电线电缆等项目早开工、早投产、早达效。</w:t>
      </w:r>
    </w:p>
    <w:tbl>
      <w:tblPr>
        <w:tblStyle w:val="10"/>
        <w:tblW w:w="826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559"/>
        <w:gridCol w:w="1005"/>
        <w:gridCol w:w="900"/>
        <w:gridCol w:w="917"/>
        <w:gridCol w:w="917"/>
        <w:gridCol w:w="917"/>
        <w:gridCol w:w="105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66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楷体"/>
                <w:b/>
                <w:bCs/>
                <w:color w:val="auto"/>
                <w:kern w:val="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专栏7：安徽枞阳经济开发区经济发展指标计划安排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指标名称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计量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2020年实绩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2021年完成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2022年安排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总量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增幅（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总量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增幅（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81" w:rightChars="-86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一、工业总产值（规上）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亿元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47.94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以上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81" w:rightChars="-86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二、战略性新兴产业产值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亿元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35.6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43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以上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81" w:rightChars="-86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三、固定资产投资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亿元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17.36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以上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-181" w:rightChars="-86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四、财政收入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亿元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0.85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1.15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35.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以上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-181" w:rightChars="-86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、招商引资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亿元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60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12以上</w:t>
            </w:r>
          </w:p>
        </w:tc>
      </w:tr>
    </w:tbl>
    <w:p>
      <w:pPr>
        <w:spacing w:line="56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进一步做实拥江发展“大舞台”。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力推进临江产业园建设，围绕七大片区，加快补齐园区配套基础设施，开工建设110kv临江变、县城污水处理厂扩建等基建项目。加速推动枞阳港枢纽前期，力争尽早开工，超前布局一批生产性、生活性服务业项目。谋划引进战略投资者整体开发东方造船厂片区，倾力打造综合立体枢纽港、先进智造新基地、现代绿色临江园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进一步激发改革创新“源动力”。</w:t>
      </w:r>
      <w:r>
        <w:rPr>
          <w:rFonts w:hint="eastAsia" w:ascii="仿宋" w:hAnsi="仿宋" w:eastAsia="仿宋"/>
          <w:color w:val="auto"/>
          <w:sz w:val="32"/>
          <w:szCs w:val="32"/>
        </w:rPr>
        <w:t>深化要素市场配置改革，全面启动“亩产论英雄”改革，完成土地成片开发计划，全面开启闲置和低效用地清理处置工作。推深做实“田长制”，坚守耕地红线，组织实施新增耕地项目1000亩、增减挂及工矿废弃地复垦利用项目500亩。深化预算绩效管理，构建事前事中事后绩效管理闭环系统，实现预算管理和绩效管理一体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/>
          <w:color w:val="auto"/>
          <w:sz w:val="32"/>
          <w:szCs w:val="32"/>
        </w:rPr>
        <w:t>国企改革三年行动落地见效，实施国企劳动、人事、分配三项制度改革。巩固农村集体产权制度改革成果，高质量推动“三变”改革。稳慎推进宅基地改革，抓好宅基地审批管理，继续开展闲置宅基地和闲置住宅盘活利用试点。深入推进村集体经济“百千万”工程，进一步整合资源、强化投入、落实项目，新增6个经济强村，确保村集体强村占比达到15%左右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进一步提升营商环境“软实力”。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全面实施优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营商环境提升行动，制定枞阳县创优营商环境提升行动方案4.0版，深化优化营商环境十条。持续提升线上政务服务能力，深化“一件事”集成改革，推动网上办事由“可办”向“好办、易办”转变。提高跨区域通办服务能力，开展区域间点对点“跨省通办”合作，形成一批具有枞阳特色的“跨省通办”事项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（五）坚持协调绿色，绘就枞阳新画卷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加快建设宜居幸福城。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完成县级国土空间规划编制工作。推动新城扩容、老城改造、全城提质，完成重点工程投资8亿元，争创省文明城市、国家园林县城。</w:t>
      </w:r>
      <w:r>
        <w:rPr>
          <w:rFonts w:hint="eastAsia" w:ascii="仿宋_GB2312" w:hAnsi="等线" w:eastAsia="仿宋_GB2312"/>
          <w:color w:val="auto"/>
          <w:sz w:val="32"/>
          <w:szCs w:val="32"/>
        </w:rPr>
        <w:t>围绕临江产业园建设，稳</w:t>
      </w:r>
      <w:r>
        <w:rPr>
          <w:rFonts w:hint="eastAsia" w:ascii="仿宋_GB2312" w:hAnsi="等线" w:eastAsia="仿宋_GB2312"/>
          <w:color w:val="auto"/>
          <w:spacing w:val="-6"/>
          <w:sz w:val="32"/>
          <w:szCs w:val="32"/>
        </w:rPr>
        <w:t>步开启“东扩滨江”新步伐。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聚焦“打通断头路，畅通微循环”，推动羹脍路、望龙北路、滨江大道二期等一批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市政道路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建成通车。实施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个老旧小区改造工程，启动县城雨污分流改造工程，继续推进县城易涝区域专项治理和县城排水防涝补短板工程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推进“智慧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枞阳”建设，加快枞阳县城智慧化改造项目建设进度，科学规划布局5G站点，建设5G基站70座。</w:t>
      </w:r>
    </w:p>
    <w:p>
      <w:pPr>
        <w:spacing w:line="560" w:lineRule="exact"/>
        <w:jc w:val="center"/>
        <w:rPr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专栏 8：</w:t>
      </w:r>
      <w:r>
        <w:rPr>
          <w:rFonts w:hint="eastAsia" w:ascii="Times New Roman" w:hAnsi="Times New Roman" w:eastAsia="楷体" w:cs="楷体"/>
          <w:b/>
          <w:bCs/>
          <w:color w:val="auto"/>
          <w:kern w:val="0"/>
          <w:sz w:val="32"/>
          <w:szCs w:val="32"/>
        </w:rPr>
        <w:t>2022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</w:rPr>
        <w:t>年市政重点建设项目</w:t>
      </w:r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outlineLvl w:val="1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续建项目：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枞阳县城区水环境综合治理工程、枞阳县城市停车场、枞阳县城区市政道路工程、枞阳县城区2020年排水防涝工程等。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outlineLvl w:val="1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新开工项目：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2022年度农村公路建设工程等。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3"/>
              <w:rPr>
                <w:rFonts w:ascii="楷体" w:hAnsi="楷体" w:eastAsia="宋体" w:cs="楷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待转化项目：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枞阳县城银塘新区城市双修近期提升工程、枞阳县城污水处理扩建工程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、枞阳县城供水管网改扩建工程、枞阳县城智慧化改造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等。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加快建设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隽秀乡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扎实推进农村“厕所革命”，完成1万户常住农户卫生厕所改造，推进粪污资源化提标扩面。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扎实开展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村庄清洁行动，突出常态化整治，县域自然村庄“五清一改”实现全覆盖。推进乡村旅游示范点创建，建设美丽乡村省级中心村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特色自然村2个、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美丽自然村庄40个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省级休闲农业和乡村旅游示范点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积极打造美丽长江经济带。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严格落实水清岸绿产业优美丽长江（安徽）经济带升级版，开展新一轮“三大一强”专项行动，抓实长江“十年禁渔”，严厉打击非法采砂。坚决贯彻落实碳达峰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碳中和行动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能耗、碳排放两个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双控，坚决遏制“两高”项目盲目发展。加快枞阳绿色能源基地建设，建成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阳光电源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汤沟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200MW等6个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光伏复合发电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渔光互补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实现首次并网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。实施大气、水、土壤污染防治升级版，完成2座县级饮用水源地水质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自动监测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站建设，深度参与铜陵“无废城市”建设，点对点抓好突出生态问题整改。加快构建绿色生态屏障，扎实推进河湖长制、林长制、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山长制、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生态保护专项监督长制。探索开展生态系统生产总值核算研究。推进长江、江淮运河生态廊道建设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加快建设20万亩国家储备林，完成营造林1.9万亩。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（六）坚持共建共享，开拓幸福新天地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扎实做好就业创业工作。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大力实施就业创业优惠政策，继续做好退役军人、已脱贫人口、退捕渔民、高校毕业生、农民工等重点群体就业创业工作；进一步支持和规范新就业形态发展，鼓励创业带动就业，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争创省级返乡入乡创业示范县，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支持多渠道灵活就业；扩大公益性岗位安置，帮扶残疾人、零就业家庭成员就业；进一步加强就业服务体系建设，开展好各项就业援助、“2+N”专场招聘会等就业服务工作，不断提升公共就业服务能力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进一步加大就业培训的工作力度。2022年计划实现城镇新增就业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人，开展创业培训180人，企业新录用员工培训800人，城镇登记失业率控制在3.2%以内。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社会事业全面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优先发展教育事业，严格落实“双减”各项举措，推进枞阳县中小学幼儿园布局调整工作，推动学前教育优质普惠发展。实施教育信息化2.0行动计划，推进27所城镇学校和17所教学点完成智慧学校建设。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公共卫生服务能力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加快建设县医院外科大楼、感染病区、精神病区等健康领域补短板项目。稳步推进紧密型省县医共体建设，持续推进乡村医疗卫生服务能力提升“百千万”工程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确保疫苗药品安全。深入开展爱国卫生工作。积极应对人口老龄化，加快建设医养结合一体化项目，实施“智慧助老”行动。争创全省体育强县示范县，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举办各类体育赛事。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完善全民健身基础设施建设，新增全民健身苑30个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晨晚练点20个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新建笼式多功能球场或足球场1个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维护更新农体工程20个、乡镇级全民健身广场1个、社区俱乐部1个。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提升公共文化服务水平，持续推进文化惠民工程项目实施，推进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新西游历险记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动漫剧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制作发行。</w:t>
      </w:r>
    </w:p>
    <w:tbl>
      <w:tblPr>
        <w:tblStyle w:val="10"/>
        <w:tblW w:w="8508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outlineLvl w:val="3"/>
              <w:rPr>
                <w:rFonts w:ascii="楷体" w:hAnsi="楷体" w:eastAsia="楷体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专栏9 ：</w:t>
            </w:r>
            <w:r>
              <w:rPr>
                <w:rFonts w:hint="eastAsia" w:ascii="Times New Roman" w:hAnsi="Times New Roman" w:eastAsia="楷体" w:cs="楷体"/>
                <w:b/>
                <w:bCs/>
                <w:color w:val="auto"/>
                <w:kern w:val="0"/>
                <w:sz w:val="32"/>
                <w:szCs w:val="32"/>
              </w:rPr>
              <w:t>2022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32"/>
                <w:szCs w:val="32"/>
              </w:rPr>
              <w:t>年社会事业类重点建设项目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续建项目：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枞阳县医养结合一体化项目、枞阳县人民医院感染病和精神病院区建设、枞阳县人民医院外科综合大楼、枞阳县中医院中西医结合及传染病区建设、蓝城康复养老中心等。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新开工项目：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枞阳县幼儿教育补短板工程等。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3"/>
              <w:rPr>
                <w:rFonts w:ascii="仿宋" w:hAnsi="仿宋" w:eastAsia="仿宋" w:cs="Times New Roman"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待转化项目：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枞阳县体育中心等。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宋体" w:eastAsia="仿宋_GB2312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推动县域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治理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现代化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。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坚持系统治理、依法治理、综合治理、源头治理，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  <w:lang w:val="en-US" w:eastAsia="zh-CN"/>
        </w:rPr>
        <w:t>落实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领导干部接访下访和阅批群众来信制度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不断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推动政府治理水平提高和治理能力现代化。加强新时代爱国主义教育，进一步深化“传育立行”教育工程，提倡节水、节电、光盘行动。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加强法制宣传教育，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培育和践行社会主义核心价值观。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加强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国防动员和军民融合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工作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  <w:lang w:val="en-US" w:eastAsia="zh-CN"/>
        </w:rPr>
        <w:t>争创省双拥模范县。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强化安全领域治理，落实常态化疫情防控措施，严守食品、药品、特种设备和工业产品安全底线，全力保障人民群众人身安全。认真做好社会治安、信访稳定、粮食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安全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毒品防治、</w:t>
      </w:r>
      <w:r>
        <w:rPr>
          <w:rFonts w:ascii="仿宋_GB2312" w:hAnsi="宋体" w:eastAsia="仿宋_GB2312"/>
          <w:color w:val="auto"/>
          <w:kern w:val="32"/>
          <w:sz w:val="32"/>
          <w:szCs w:val="32"/>
        </w:rPr>
        <w:t>网络安全、应急管理、防汛抗旱、人防消防等各项工作，坚决维护社会大局稳定。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推动社会治理和平安枞阳建设，不断提升人民群众的安全感和获得感。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kern w:val="3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各位代表！发展蓝图已经绘就，美好枞阳前景可期。让我们在中共枞阳县委坚强领导下，在县人大常委会依法监督和县政协民主监督支持下，以习近平新时代中国特色社会主义思想为指导，全面落实本次大会通过的各项决议，进一步解放思想、奋勇争先，知重负重、攻坚克难，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  <w:lang w:val="en-US" w:eastAsia="zh-CN"/>
        </w:rPr>
        <w:t>加快建设新阶段现代化美好枞阳</w:t>
      </w:r>
      <w:r>
        <w:rPr>
          <w:rFonts w:hint="eastAsia" w:ascii="仿宋_GB2312" w:hAnsi="宋体" w:eastAsia="仿宋_GB2312"/>
          <w:color w:val="auto"/>
          <w:kern w:val="32"/>
          <w:sz w:val="32"/>
          <w:szCs w:val="32"/>
        </w:rPr>
        <w:t>，以优异成绩迎接党的二十大胜利召开！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41" w:firstLineChars="100"/>
        <w:textAlignment w:val="auto"/>
        <w:rPr>
          <w:rFonts w:hint="eastAsia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389255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65pt;margin-top:30.65pt;height:0pt;width:441pt;z-index:251659264;mso-width-relative:page;mso-height-relative:page;" filled="f" stroked="t" coordsize="21600,21600" o:gfxdata="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I0WhrSAAAABwEA&#10;AA8AAAAAAAAAAQAgAAAAIgAAAGRycy9kb3ducmV2LnhtbFBLAQIUABQAAAAIAIdO4kBnAobg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1905</wp:posOffset>
                </wp:positionV>
                <wp:extent cx="56007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1pt;margin-top:0.15pt;height:0pt;width:441pt;z-index:251660288;mso-width-relative:page;mso-height-relative:page;" filled="f" stroked="t" coordsize="21600,21600" o:gfxdata="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ijPhdMAAAAE&#10;AQAADwAAAAAAAAABACAAAAAiAAAAZHJzL2Rvd25yZXYueG1sUEsBAhQAFAAAAAgAh07iQBCayZ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theme="minorBidi"/>
          <w:b w:val="0"/>
          <w:bCs w:val="0"/>
          <w:kern w:val="32"/>
          <w:sz w:val="32"/>
          <w:szCs w:val="32"/>
          <w:lang w:val="en-US" w:eastAsia="zh-CN" w:bidi="ar-SA"/>
        </w:rPr>
        <w:t>县十七届人大一次会议秘书处         2022年1月2日印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EF3CC4-E81E-4317-91C4-198EA3B9E8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2B47B0-5108-4F66-A53A-0495961894D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00371B-7854-4820-9439-705219AB51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0C9EDE-E7BE-45E1-8F91-66C46C053B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7CB6D4-20E4-4E1B-93D8-1C087C0EC30C}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5A8FA11-DDC7-476F-B197-0CBAD617C69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12BB8E2-3B98-41F3-AD94-37D94AB1E6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3B216D55-1CCA-46C8-80DB-FEBF1F4E673B}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  <w:embedRegular r:id="rId9" w:fontKey="{9DB1CEF1-DC39-4A3F-AC9C-1155FA1D202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0" w:fontKey="{FA6FADC8-8835-4D04-90C9-4CA8FF9288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5A23"/>
    <w:rsid w:val="00133B99"/>
    <w:rsid w:val="00555FE9"/>
    <w:rsid w:val="008F7F5C"/>
    <w:rsid w:val="00A20180"/>
    <w:rsid w:val="00EC7393"/>
    <w:rsid w:val="013E4FDF"/>
    <w:rsid w:val="01EB5C64"/>
    <w:rsid w:val="02092C94"/>
    <w:rsid w:val="023F2C1E"/>
    <w:rsid w:val="02D3702A"/>
    <w:rsid w:val="03000942"/>
    <w:rsid w:val="04086209"/>
    <w:rsid w:val="041001F5"/>
    <w:rsid w:val="06272A57"/>
    <w:rsid w:val="07273F13"/>
    <w:rsid w:val="075B7405"/>
    <w:rsid w:val="08DF64FD"/>
    <w:rsid w:val="0AA3325D"/>
    <w:rsid w:val="0BAF2BD9"/>
    <w:rsid w:val="0CE23D76"/>
    <w:rsid w:val="0D1C2595"/>
    <w:rsid w:val="0D7D7D2D"/>
    <w:rsid w:val="0D89305A"/>
    <w:rsid w:val="0F0C335A"/>
    <w:rsid w:val="0FB83603"/>
    <w:rsid w:val="0FD7163E"/>
    <w:rsid w:val="1124115F"/>
    <w:rsid w:val="11B02ABB"/>
    <w:rsid w:val="11E628D2"/>
    <w:rsid w:val="126A227E"/>
    <w:rsid w:val="12C43212"/>
    <w:rsid w:val="1336157C"/>
    <w:rsid w:val="13D36C5E"/>
    <w:rsid w:val="15A20FDE"/>
    <w:rsid w:val="163677FC"/>
    <w:rsid w:val="16A268DE"/>
    <w:rsid w:val="17100128"/>
    <w:rsid w:val="171B06A0"/>
    <w:rsid w:val="17792FF4"/>
    <w:rsid w:val="18B72E76"/>
    <w:rsid w:val="1A4A4B0C"/>
    <w:rsid w:val="1AF53645"/>
    <w:rsid w:val="1B087B35"/>
    <w:rsid w:val="1B144E23"/>
    <w:rsid w:val="1B9806BD"/>
    <w:rsid w:val="1C56667E"/>
    <w:rsid w:val="1D1A7BEF"/>
    <w:rsid w:val="1E20349A"/>
    <w:rsid w:val="1E873ED4"/>
    <w:rsid w:val="1EAC4C7B"/>
    <w:rsid w:val="20000DDB"/>
    <w:rsid w:val="213637B2"/>
    <w:rsid w:val="22927D61"/>
    <w:rsid w:val="23793E4C"/>
    <w:rsid w:val="239F4E7D"/>
    <w:rsid w:val="245410AC"/>
    <w:rsid w:val="2521324D"/>
    <w:rsid w:val="261C32E6"/>
    <w:rsid w:val="266D783B"/>
    <w:rsid w:val="26F61EFF"/>
    <w:rsid w:val="27C23BCC"/>
    <w:rsid w:val="27E60A63"/>
    <w:rsid w:val="28490C3D"/>
    <w:rsid w:val="291C6636"/>
    <w:rsid w:val="292540ED"/>
    <w:rsid w:val="2B75276D"/>
    <w:rsid w:val="2BA51DE6"/>
    <w:rsid w:val="2D847A85"/>
    <w:rsid w:val="2D8C3A3D"/>
    <w:rsid w:val="2E112281"/>
    <w:rsid w:val="2E9028FC"/>
    <w:rsid w:val="2EF021E0"/>
    <w:rsid w:val="311E6936"/>
    <w:rsid w:val="312C217E"/>
    <w:rsid w:val="315715AE"/>
    <w:rsid w:val="31FA4705"/>
    <w:rsid w:val="32375A5A"/>
    <w:rsid w:val="33A61961"/>
    <w:rsid w:val="34A60722"/>
    <w:rsid w:val="37B620AB"/>
    <w:rsid w:val="38A2418F"/>
    <w:rsid w:val="38F62B97"/>
    <w:rsid w:val="39842CFE"/>
    <w:rsid w:val="3C3971D8"/>
    <w:rsid w:val="3C4F6964"/>
    <w:rsid w:val="3DF12C27"/>
    <w:rsid w:val="3E0331FF"/>
    <w:rsid w:val="41840968"/>
    <w:rsid w:val="428C78FB"/>
    <w:rsid w:val="44AB6BC3"/>
    <w:rsid w:val="44C7316D"/>
    <w:rsid w:val="463C5FBC"/>
    <w:rsid w:val="47411FE2"/>
    <w:rsid w:val="486A50DB"/>
    <w:rsid w:val="48E216C9"/>
    <w:rsid w:val="497C065E"/>
    <w:rsid w:val="49996C04"/>
    <w:rsid w:val="49AB1508"/>
    <w:rsid w:val="4B1950FF"/>
    <w:rsid w:val="4BA01967"/>
    <w:rsid w:val="4C093ACE"/>
    <w:rsid w:val="4C0F2035"/>
    <w:rsid w:val="4DF47921"/>
    <w:rsid w:val="4EFF5173"/>
    <w:rsid w:val="4F0A49AE"/>
    <w:rsid w:val="4F0A54FD"/>
    <w:rsid w:val="4FDD09BD"/>
    <w:rsid w:val="505521CD"/>
    <w:rsid w:val="515B7CB7"/>
    <w:rsid w:val="527A5EFF"/>
    <w:rsid w:val="52C25530"/>
    <w:rsid w:val="532A6251"/>
    <w:rsid w:val="552860F7"/>
    <w:rsid w:val="55D7288A"/>
    <w:rsid w:val="565F732A"/>
    <w:rsid w:val="593C6736"/>
    <w:rsid w:val="5ACE5D67"/>
    <w:rsid w:val="5BE3302E"/>
    <w:rsid w:val="5D035A23"/>
    <w:rsid w:val="5D0F1F6E"/>
    <w:rsid w:val="5E042E07"/>
    <w:rsid w:val="5F9E0C5C"/>
    <w:rsid w:val="5FC9653B"/>
    <w:rsid w:val="607A4903"/>
    <w:rsid w:val="60F63558"/>
    <w:rsid w:val="61D6603A"/>
    <w:rsid w:val="625422FC"/>
    <w:rsid w:val="62B725B6"/>
    <w:rsid w:val="630542A9"/>
    <w:rsid w:val="63946108"/>
    <w:rsid w:val="6455528F"/>
    <w:rsid w:val="65C606D1"/>
    <w:rsid w:val="676905E0"/>
    <w:rsid w:val="691174A4"/>
    <w:rsid w:val="69BF098B"/>
    <w:rsid w:val="6A325332"/>
    <w:rsid w:val="6ABE6E95"/>
    <w:rsid w:val="6ADA2710"/>
    <w:rsid w:val="6B6239CF"/>
    <w:rsid w:val="6C086C93"/>
    <w:rsid w:val="6D393126"/>
    <w:rsid w:val="6FA453E2"/>
    <w:rsid w:val="6FF578B8"/>
    <w:rsid w:val="71E317F1"/>
    <w:rsid w:val="725F30B6"/>
    <w:rsid w:val="730B2E93"/>
    <w:rsid w:val="739400DA"/>
    <w:rsid w:val="73CB564E"/>
    <w:rsid w:val="74552425"/>
    <w:rsid w:val="746727C2"/>
    <w:rsid w:val="748D28CB"/>
    <w:rsid w:val="76DF0F9E"/>
    <w:rsid w:val="7774056F"/>
    <w:rsid w:val="77FA60B1"/>
    <w:rsid w:val="79430865"/>
    <w:rsid w:val="7A542960"/>
    <w:rsid w:val="7B0703E4"/>
    <w:rsid w:val="7B9B6D4C"/>
    <w:rsid w:val="7CE27C79"/>
    <w:rsid w:val="7D190181"/>
    <w:rsid w:val="7D704189"/>
    <w:rsid w:val="7E241232"/>
    <w:rsid w:val="7E5016FE"/>
    <w:rsid w:val="7EE60A80"/>
    <w:rsid w:val="7F3C16ED"/>
    <w:rsid w:val="F8FEF8AB"/>
    <w:rsid w:val="FE77C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qFormat/>
    <w:uiPriority w:val="99"/>
    <w:pPr>
      <w:ind w:left="147"/>
    </w:pPr>
    <w:rPr>
      <w:rFonts w:ascii="宋体" w:hAnsi="宋体"/>
      <w:sz w:val="27"/>
      <w:szCs w:val="27"/>
    </w:rPr>
  </w:style>
  <w:style w:type="paragraph" w:styleId="7">
    <w:name w:val="Body Text Indent"/>
    <w:basedOn w:val="1"/>
    <w:qFormat/>
    <w:uiPriority w:val="99"/>
    <w:pPr>
      <w:ind w:firstLine="64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正文首行缩进 21"/>
    <w:basedOn w:val="16"/>
    <w:qFormat/>
    <w:uiPriority w:val="0"/>
    <w:pPr>
      <w:ind w:firstLine="420" w:firstLineChars="200"/>
    </w:pPr>
  </w:style>
  <w:style w:type="paragraph" w:customStyle="1" w:styleId="16">
    <w:name w:val="正文文本缩进1"/>
    <w:basedOn w:val="1"/>
    <w:next w:val="17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customStyle="1" w:styleId="17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8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</w:rPr>
  </w:style>
  <w:style w:type="paragraph" w:customStyle="1" w:styleId="19">
    <w:name w:val="文档正文"/>
    <w:basedOn w:val="1"/>
    <w:qFormat/>
    <w:uiPriority w:val="0"/>
    <w:pPr>
      <w:spacing w:line="480" w:lineRule="atLeast"/>
      <w:textAlignment w:val="baseline"/>
    </w:pPr>
    <w:rPr>
      <w:rFonts w:ascii="Calibri" w:hAnsi="Arial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12686</Words>
  <Characters>13419</Characters>
  <Lines>95</Lines>
  <Paragraphs>26</Paragraphs>
  <TotalTime>71</TotalTime>
  <ScaleCrop>false</ScaleCrop>
  <LinksUpToDate>false</LinksUpToDate>
  <CharactersWithSpaces>13505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2021-12-13T01:07:00Z</dcterms:created>
  <dc:creator>张浩</dc:creator>
  <cp:lastModifiedBy>夕阳下的歌</cp:lastModifiedBy>
  <cp:lastPrinted>2021-12-30T02:47:00Z</cp:lastPrinted>
  <dcterms:modified xsi:type="dcterms:W3CDTF">2022-06-21T00:20:12Z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074669B6B40C4A1FA59971C251B23CB4</vt:lpwstr>
  </property>
</Properties>
</file>