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12" w:line="600" w:lineRule="exact"/>
        <w:jc w:val="center"/>
        <w:textAlignment w:val="auto"/>
        <w:rPr>
          <w:rFonts w:hint="eastAsia" w:ascii="方正小标宋简体" w:hAnsi="方正小标宋简体" w:eastAsia="方正小标宋简体" w:cs="方正小标宋简体"/>
          <w:spacing w:val="0"/>
          <w:w w:val="100"/>
          <w:sz w:val="44"/>
          <w:szCs w:val="44"/>
        </w:rPr>
      </w:pPr>
      <w:bookmarkStart w:id="0" w:name="_GoBack"/>
      <w:r>
        <w:rPr>
          <w:rFonts w:hint="eastAsia" w:ascii="方正小标宋简体" w:hAnsi="方正小标宋简体" w:eastAsia="方正小标宋简体" w:cs="方正小标宋简体"/>
          <w:spacing w:val="0"/>
          <w:w w:val="100"/>
          <w:sz w:val="44"/>
          <w:szCs w:val="44"/>
        </w:rPr>
        <w:t>2022</w:t>
      </w:r>
      <w:r>
        <w:rPr>
          <w:rFonts w:hint="eastAsia" w:ascii="方正小标宋简体" w:hAnsi="方正小标宋简体" w:eastAsia="方正小标宋简体" w:cs="方正小标宋简体"/>
          <w:spacing w:val="0"/>
          <w:w w:val="100"/>
          <w:sz w:val="44"/>
          <w:szCs w:val="44"/>
          <w:lang w:val="en-US" w:eastAsia="zh-CN"/>
        </w:rPr>
        <w:t>县发改委</w:t>
      </w:r>
      <w:r>
        <w:rPr>
          <w:rFonts w:hint="eastAsia" w:ascii="方正小标宋简体" w:hAnsi="方正小标宋简体" w:eastAsia="方正小标宋简体" w:cs="方正小标宋简体"/>
          <w:spacing w:val="0"/>
          <w:w w:val="100"/>
          <w:sz w:val="44"/>
          <w:szCs w:val="44"/>
        </w:rPr>
        <w:t>主要工作实施方案</w:t>
      </w:r>
    </w:p>
    <w:bookmarkEnd w:id="0"/>
    <w:tbl>
      <w:tblPr>
        <w:tblStyle w:val="5"/>
        <w:tblpPr w:leftFromText="180" w:rightFromText="180" w:vertAnchor="text" w:horzAnchor="page" w:tblpXSpec="center" w:tblpY="616"/>
        <w:tblOverlap w:val="never"/>
        <w:tblW w:w="137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320"/>
        <w:gridCol w:w="575"/>
        <w:gridCol w:w="4365"/>
        <w:gridCol w:w="6140"/>
        <w:gridCol w:w="915"/>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895" w:type="dxa"/>
            <w:gridSpan w:val="2"/>
            <w:vAlign w:val="center"/>
          </w:tcPr>
          <w:p>
            <w:pPr>
              <w:keepNext w:val="0"/>
              <w:keepLines w:val="0"/>
              <w:pageBreakBefore w:val="0"/>
              <w:kinsoku/>
              <w:wordWrap/>
              <w:overflowPunct/>
              <w:topLinePunct w:val="0"/>
              <w:bidi w:val="0"/>
              <w:adjustRightInd/>
              <w:snapToGrid/>
              <w:spacing w:line="400" w:lineRule="exact"/>
              <w:jc w:val="center"/>
              <w:rPr>
                <w:rFonts w:hint="eastAsia" w:ascii="黑体" w:hAnsi="黑体" w:eastAsia="黑体" w:cs="黑体"/>
                <w:sz w:val="24"/>
                <w:szCs w:val="24"/>
              </w:rPr>
            </w:pPr>
            <w:r>
              <w:rPr>
                <w:rFonts w:hint="eastAsia" w:ascii="黑体" w:hAnsi="黑体" w:eastAsia="黑体" w:cs="黑体"/>
                <w:sz w:val="24"/>
                <w:szCs w:val="24"/>
              </w:rPr>
              <w:t>主要工作目标</w:t>
            </w:r>
          </w:p>
        </w:tc>
        <w:tc>
          <w:tcPr>
            <w:tcW w:w="4365" w:type="dxa"/>
            <w:vAlign w:val="center"/>
          </w:tcPr>
          <w:p>
            <w:pPr>
              <w:keepNext w:val="0"/>
              <w:keepLines w:val="0"/>
              <w:pageBreakBefore w:val="0"/>
              <w:kinsoku/>
              <w:wordWrap/>
              <w:overflowPunct/>
              <w:topLinePunct w:val="0"/>
              <w:bidi w:val="0"/>
              <w:adjustRightInd/>
              <w:snapToGrid/>
              <w:spacing w:line="400" w:lineRule="exact"/>
              <w:jc w:val="center"/>
              <w:rPr>
                <w:rFonts w:hint="eastAsia" w:ascii="黑体" w:hAnsi="黑体" w:eastAsia="黑体" w:cs="黑体"/>
                <w:sz w:val="24"/>
                <w:szCs w:val="24"/>
              </w:rPr>
            </w:pPr>
            <w:r>
              <w:rPr>
                <w:rFonts w:hint="eastAsia" w:ascii="黑体" w:hAnsi="黑体" w:eastAsia="黑体" w:cs="黑体"/>
                <w:sz w:val="24"/>
                <w:szCs w:val="24"/>
              </w:rPr>
              <w:t>目标任务主要内容</w:t>
            </w:r>
          </w:p>
        </w:tc>
        <w:tc>
          <w:tcPr>
            <w:tcW w:w="6140" w:type="dxa"/>
            <w:vAlign w:val="center"/>
          </w:tcPr>
          <w:p>
            <w:pPr>
              <w:keepNext w:val="0"/>
              <w:keepLines w:val="0"/>
              <w:pageBreakBefore w:val="0"/>
              <w:kinsoku/>
              <w:wordWrap/>
              <w:overflowPunct/>
              <w:topLinePunct w:val="0"/>
              <w:bidi w:val="0"/>
              <w:adjustRightInd/>
              <w:snapToGrid/>
              <w:spacing w:line="400" w:lineRule="exact"/>
              <w:jc w:val="center"/>
              <w:rPr>
                <w:rFonts w:hint="eastAsia" w:ascii="黑体" w:hAnsi="黑体" w:eastAsia="黑体" w:cs="黑体"/>
                <w:sz w:val="24"/>
                <w:szCs w:val="24"/>
              </w:rPr>
            </w:pPr>
            <w:r>
              <w:rPr>
                <w:rFonts w:hint="eastAsia" w:ascii="黑体" w:hAnsi="黑体" w:eastAsia="黑体" w:cs="黑体"/>
                <w:sz w:val="24"/>
                <w:szCs w:val="24"/>
              </w:rPr>
              <w:t>时间表</w:t>
            </w:r>
          </w:p>
        </w:tc>
        <w:tc>
          <w:tcPr>
            <w:tcW w:w="915" w:type="dxa"/>
            <w:vAlign w:val="center"/>
          </w:tcPr>
          <w:p>
            <w:pPr>
              <w:keepNext w:val="0"/>
              <w:keepLines w:val="0"/>
              <w:pageBreakBefore w:val="0"/>
              <w:kinsoku/>
              <w:wordWrap/>
              <w:overflowPunct/>
              <w:topLinePunct w:val="0"/>
              <w:bidi w:val="0"/>
              <w:adjustRightInd/>
              <w:snapToGrid/>
              <w:spacing w:line="400" w:lineRule="exact"/>
              <w:jc w:val="center"/>
              <w:rPr>
                <w:rFonts w:hint="eastAsia" w:ascii="黑体" w:hAnsi="黑体" w:eastAsia="黑体" w:cs="黑体"/>
                <w:sz w:val="24"/>
                <w:szCs w:val="24"/>
              </w:rPr>
            </w:pPr>
            <w:r>
              <w:rPr>
                <w:rFonts w:hint="eastAsia" w:ascii="黑体" w:hAnsi="黑体" w:eastAsia="黑体" w:cs="黑体"/>
                <w:sz w:val="24"/>
                <w:szCs w:val="24"/>
              </w:rPr>
              <w:t>责任人</w:t>
            </w:r>
          </w:p>
        </w:tc>
        <w:tc>
          <w:tcPr>
            <w:tcW w:w="866" w:type="dxa"/>
            <w:vAlign w:val="center"/>
          </w:tcPr>
          <w:p>
            <w:pPr>
              <w:keepNext w:val="0"/>
              <w:keepLines w:val="0"/>
              <w:pageBreakBefore w:val="0"/>
              <w:kinsoku/>
              <w:wordWrap/>
              <w:overflowPunct/>
              <w:topLinePunct w:val="0"/>
              <w:bidi w:val="0"/>
              <w:adjustRightInd/>
              <w:snapToGrid/>
              <w:spacing w:line="400" w:lineRule="exact"/>
              <w:jc w:val="center"/>
              <w:rPr>
                <w:rFonts w:hint="eastAsia" w:ascii="黑体" w:hAnsi="黑体" w:eastAsia="黑体" w:cs="黑体"/>
                <w:sz w:val="24"/>
                <w:szCs w:val="24"/>
              </w:rPr>
            </w:pPr>
            <w:r>
              <w:rPr>
                <w:rFonts w:hint="eastAsia" w:ascii="黑体" w:hAnsi="黑体" w:eastAsia="黑体" w:cs="黑体"/>
                <w:sz w:val="24"/>
                <w:szCs w:val="24"/>
                <w:lang w:val="en-US" w:eastAsia="zh-CN"/>
              </w:rPr>
              <w:t>责任股室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12861" w:type="dxa"/>
          <w:trHeight w:val="479" w:hRule="atLeast"/>
          <w:jc w:val="center"/>
        </w:trPr>
        <w:tc>
          <w:tcPr>
            <w:tcW w:w="866" w:type="dxa"/>
            <w:gridSpan w:val="2"/>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895" w:type="dxa"/>
            <w:gridSpan w:val="2"/>
            <w:vMerge w:val="restart"/>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经济社会发展主要预期目标</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地区生产总值增长 8</w:t>
            </w:r>
            <w:r>
              <w:rPr>
                <w:rFonts w:hint="eastAsia" w:ascii="仿宋_GB2312" w:hAnsi="仿宋_GB2312" w:eastAsia="仿宋_GB2312" w:cs="仿宋_GB2312"/>
                <w:sz w:val="24"/>
                <w:szCs w:val="24"/>
              </w:rPr>
              <w:drawing>
                <wp:inline distT="0" distB="0" distL="0" distR="0">
                  <wp:extent cx="66040" cy="116840"/>
                  <wp:effectExtent l="0" t="0" r="10160" b="16510"/>
                  <wp:docPr id="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0.png"/>
                          <pic:cNvPicPr>
                            <a:picLocks noChangeAspect="1"/>
                          </pic:cNvPicPr>
                        </pic:nvPicPr>
                        <pic:blipFill>
                          <a:blip r:embed="rId6" cstate="print"/>
                          <a:stretch>
                            <a:fillRect/>
                          </a:stretch>
                        </pic:blipFill>
                        <pic:spPr>
                          <a:xfrm>
                            <a:off x="0" y="0"/>
                            <a:ext cx="66674" cy="117474"/>
                          </a:xfrm>
                          <a:prstGeom prst="rect">
                            <a:avLst/>
                          </a:prstGeom>
                        </pic:spPr>
                      </pic:pic>
                    </a:graphicData>
                  </a:graphic>
                </wp:inline>
              </w:drawing>
            </w:r>
            <w:r>
              <w:rPr>
                <w:rFonts w:hint="eastAsia" w:ascii="仿宋_GB2312" w:hAnsi="仿宋_GB2312" w:eastAsia="仿宋_GB2312" w:cs="仿宋_GB2312"/>
                <w:sz w:val="24"/>
                <w:szCs w:val="24"/>
              </w:rPr>
              <w:t>以上，在实际工作中力争完成得更好。</w:t>
            </w:r>
          </w:p>
        </w:tc>
        <w:tc>
          <w:tcPr>
            <w:tcW w:w="6140"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1.</w:t>
            </w:r>
            <w:r>
              <w:rPr>
                <w:rFonts w:hint="eastAsia" w:ascii="仿宋_GB2312" w:hAnsi="仿宋_GB2312" w:eastAsia="仿宋_GB2312" w:cs="仿宋_GB2312"/>
                <w:sz w:val="24"/>
                <w:szCs w:val="24"/>
                <w:lang w:val="en-US" w:eastAsia="zh-CN"/>
              </w:rPr>
              <w:t>以月保季，以季保年，力争完成年度目标任务</w:t>
            </w:r>
            <w:r>
              <w:rPr>
                <w:rFonts w:hint="eastAsia" w:cs="仿宋_GB2312"/>
                <w:sz w:val="24"/>
                <w:szCs w:val="24"/>
                <w:lang w:val="en-US" w:eastAsia="zh-CN"/>
              </w:rPr>
              <w:t>；2.力争今年新增省级以上样本点1家以上。</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固定资产投资增长 15</w:t>
            </w:r>
            <w:r>
              <w:rPr>
                <w:rFonts w:hint="eastAsia" w:ascii="仿宋_GB2312" w:hAnsi="仿宋_GB2312" w:eastAsia="仿宋_GB2312" w:cs="仿宋_GB2312"/>
                <w:sz w:val="24"/>
                <w:szCs w:val="24"/>
              </w:rPr>
              <w:drawing>
                <wp:inline distT="0" distB="0" distL="0" distR="0">
                  <wp:extent cx="66040" cy="116840"/>
                  <wp:effectExtent l="0" t="0" r="10160" b="16510"/>
                  <wp:docPr id="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0.png"/>
                          <pic:cNvPicPr>
                            <a:picLocks noChangeAspect="1"/>
                          </pic:cNvPicPr>
                        </pic:nvPicPr>
                        <pic:blipFill>
                          <a:blip r:embed="rId6" cstate="print"/>
                          <a:stretch>
                            <a:fillRect/>
                          </a:stretch>
                        </pic:blipFill>
                        <pic:spPr>
                          <a:xfrm>
                            <a:off x="0" y="0"/>
                            <a:ext cx="66674" cy="117474"/>
                          </a:xfrm>
                          <a:prstGeom prst="rect">
                            <a:avLst/>
                          </a:prstGeom>
                        </pic:spPr>
                      </pic:pic>
                    </a:graphicData>
                  </a:graphic>
                </wp:inline>
              </w:drawing>
            </w:r>
            <w:r>
              <w:rPr>
                <w:rFonts w:hint="eastAsia" w:ascii="仿宋_GB2312" w:hAnsi="仿宋_GB2312" w:eastAsia="仿宋_GB2312" w:cs="仿宋_GB2312"/>
                <w:sz w:val="24"/>
                <w:szCs w:val="24"/>
              </w:rPr>
              <w:t>以上。</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w:t>
            </w:r>
            <w:r>
              <w:rPr>
                <w:rFonts w:hint="eastAsia" w:cs="仿宋_GB2312"/>
                <w:sz w:val="24"/>
                <w:szCs w:val="24"/>
                <w:lang w:val="en-US" w:eastAsia="zh-CN"/>
              </w:rPr>
              <w:t>全年。</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cs="仿宋_GB2312"/>
                <w:sz w:val="24"/>
                <w:szCs w:val="24"/>
                <w:lang w:val="en-US" w:eastAsia="zh-CN"/>
              </w:rPr>
              <w:t>何新友</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投资股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各项约束性指标达到规定要求。</w:t>
            </w:r>
          </w:p>
        </w:tc>
        <w:tc>
          <w:tcPr>
            <w:tcW w:w="6140"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1.</w:t>
            </w:r>
            <w:r>
              <w:rPr>
                <w:rFonts w:hint="eastAsia" w:ascii="仿宋_GB2312" w:hAnsi="仿宋_GB2312" w:eastAsia="仿宋_GB2312" w:cs="仿宋_GB2312"/>
                <w:sz w:val="24"/>
                <w:szCs w:val="24"/>
                <w:lang w:val="en-US" w:eastAsia="zh-CN"/>
              </w:rPr>
              <w:t>一季度根据全市年度任务下达情况分解全县节能减煤任务指标，做好每季度对枞阳海螺、金誉公司等重点用能企业节能减煤情况的监测预警</w:t>
            </w:r>
            <w:r>
              <w:rPr>
                <w:rFonts w:hint="eastAsia" w:cs="仿宋_GB2312"/>
                <w:sz w:val="24"/>
                <w:szCs w:val="24"/>
                <w:lang w:val="en-US" w:eastAsia="zh-CN"/>
              </w:rPr>
              <w:t>；2.做好用能项目能评。</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能源办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895" w:type="dxa"/>
            <w:gridSpan w:val="2"/>
            <w:vMerge w:val="restart"/>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倾力打造产业集群</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rPr>
              <w:t>培育铝基新材料百亿产业，加快建设省级重大新兴产业工程，力争获批省级重大新兴产业基地，建成运营经开区铝基新材料产业园，全面推动链上招、群上引，做强做优省级铝基新材料特色产业集群（基地）。</w:t>
            </w:r>
          </w:p>
        </w:tc>
        <w:tc>
          <w:tcPr>
            <w:tcW w:w="6140"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1.做好2022年铝基特色“园中园”申报土地要素补短板工作；2.</w:t>
            </w:r>
            <w:r>
              <w:rPr>
                <w:rFonts w:hint="eastAsia" w:ascii="仿宋" w:hAnsi="仿宋" w:eastAsia="仿宋" w:cs="仿宋"/>
                <w:sz w:val="24"/>
                <w:szCs w:val="24"/>
                <w:lang w:val="en-US" w:eastAsia="zh-CN"/>
              </w:rPr>
              <w:t>力争2022年铝基产业增长15%，2023年超50亿。</w:t>
            </w:r>
          </w:p>
        </w:tc>
        <w:tc>
          <w:tcPr>
            <w:tcW w:w="915"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rPr>
              <w:t>培育绿色家居智造百亿产业，用好省级农作物秸秆综合利用现代环保产业示范园区品牌，加快建设绿色家居智造产业园，引进诗尼曼家居等头部企业，不断壮大省级绿色家居智造特色产业集群（基地）。</w:t>
            </w:r>
          </w:p>
        </w:tc>
        <w:tc>
          <w:tcPr>
            <w:tcW w:w="6140"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1.谋划2022年度绿色家居重大新兴产业专项；2.</w:t>
            </w:r>
            <w:r>
              <w:rPr>
                <w:rFonts w:hint="eastAsia" w:ascii="仿宋" w:hAnsi="仿宋" w:eastAsia="仿宋" w:cs="仿宋"/>
                <w:sz w:val="24"/>
                <w:szCs w:val="24"/>
                <w:lang w:val="en-US" w:eastAsia="zh-CN"/>
              </w:rPr>
              <w:t>力争2022年绿色家居产业增长15%，2023年达40亿。</w:t>
            </w:r>
          </w:p>
        </w:tc>
        <w:tc>
          <w:tcPr>
            <w:tcW w:w="915"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7"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积极建设绿色能源基地，推动碲化镉发电玻璃项目尽快开工，加快实施 380 兆瓦光伏复合发电、140 兆瓦渔光互补发电、多能互补一体化、整县屋顶分布式光伏开发试点等项目。</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cs="仿宋_GB2312"/>
                <w:sz w:val="24"/>
                <w:szCs w:val="24"/>
                <w:lang w:val="en-US" w:eastAsia="zh-CN"/>
              </w:rPr>
              <w:t>1.二</w:t>
            </w:r>
            <w:r>
              <w:rPr>
                <w:rFonts w:hint="eastAsia" w:ascii="仿宋_GB2312" w:hAnsi="仿宋_GB2312" w:eastAsia="仿宋_GB2312" w:cs="仿宋_GB2312"/>
                <w:sz w:val="24"/>
                <w:szCs w:val="24"/>
                <w:lang w:eastAsia="zh-CN"/>
              </w:rPr>
              <w:t>季度</w:t>
            </w:r>
            <w:r>
              <w:rPr>
                <w:rFonts w:hint="eastAsia" w:ascii="仿宋_GB2312" w:hAnsi="仿宋_GB2312" w:eastAsia="仿宋_GB2312" w:cs="仿宋_GB2312"/>
                <w:sz w:val="24"/>
                <w:szCs w:val="24"/>
              </w:rPr>
              <w:t>枞阳县汤沟镇260兆瓦光伏复合发电项目二期200MW项目、华电麒麟90MW光伏发电项目</w:t>
            </w:r>
            <w:r>
              <w:rPr>
                <w:rFonts w:hint="eastAsia" w:ascii="仿宋_GB2312" w:hAnsi="仿宋_GB2312" w:eastAsia="仿宋_GB2312" w:cs="仿宋_GB2312"/>
                <w:sz w:val="24"/>
                <w:szCs w:val="24"/>
                <w:lang w:eastAsia="zh-CN"/>
              </w:rPr>
              <w:t>开工建设；</w:t>
            </w:r>
            <w:r>
              <w:rPr>
                <w:rFonts w:hint="eastAsia" w:cs="仿宋_GB2312"/>
                <w:sz w:val="24"/>
                <w:szCs w:val="24"/>
                <w:lang w:val="en-US" w:eastAsia="zh-CN"/>
              </w:rPr>
              <w:t>2.</w:t>
            </w:r>
            <w:r>
              <w:rPr>
                <w:rFonts w:hint="eastAsia" w:ascii="仿宋_GB2312" w:hAnsi="仿宋_GB2312" w:eastAsia="仿宋_GB2312" w:cs="仿宋_GB2312"/>
                <w:sz w:val="24"/>
                <w:szCs w:val="24"/>
                <w:lang w:eastAsia="zh-CN"/>
              </w:rPr>
              <w:t>二季度</w:t>
            </w:r>
            <w:r>
              <w:rPr>
                <w:rFonts w:hint="eastAsia" w:ascii="仿宋_GB2312" w:hAnsi="仿宋_GB2312" w:eastAsia="仿宋_GB2312" w:cs="仿宋_GB2312"/>
                <w:sz w:val="24"/>
                <w:szCs w:val="24"/>
              </w:rPr>
              <w:t>横埠镇湴湖180MW光伏发电项目</w:t>
            </w:r>
            <w:r>
              <w:rPr>
                <w:rFonts w:hint="eastAsia" w:ascii="仿宋_GB2312" w:hAnsi="仿宋_GB2312" w:eastAsia="仿宋_GB2312" w:cs="仿宋_GB2312"/>
                <w:sz w:val="24"/>
                <w:szCs w:val="24"/>
                <w:lang w:eastAsia="zh-CN"/>
              </w:rPr>
              <w:t>开工建设；</w:t>
            </w:r>
            <w:r>
              <w:rPr>
                <w:rFonts w:hint="eastAsia" w:cs="仿宋_GB2312"/>
                <w:sz w:val="24"/>
                <w:szCs w:val="24"/>
                <w:lang w:val="en-US" w:eastAsia="zh-CN"/>
              </w:rPr>
              <w:t>3.</w:t>
            </w:r>
            <w:r>
              <w:rPr>
                <w:rFonts w:hint="eastAsia" w:ascii="仿宋_GB2312" w:hAnsi="仿宋_GB2312" w:eastAsia="仿宋_GB2312" w:cs="仿宋_GB2312"/>
                <w:sz w:val="24"/>
                <w:szCs w:val="24"/>
                <w:lang w:eastAsia="zh-CN"/>
              </w:rPr>
              <w:t>三季度</w:t>
            </w:r>
            <w:r>
              <w:rPr>
                <w:rFonts w:hint="eastAsia" w:ascii="仿宋_GB2312" w:hAnsi="仿宋_GB2312" w:eastAsia="仿宋_GB2312" w:cs="仿宋_GB2312"/>
                <w:sz w:val="24"/>
                <w:szCs w:val="24"/>
              </w:rPr>
              <w:t>枞阳260MW储能项目</w:t>
            </w:r>
            <w:r>
              <w:rPr>
                <w:rFonts w:hint="eastAsia" w:ascii="仿宋_GB2312" w:hAnsi="仿宋_GB2312" w:eastAsia="仿宋_GB2312" w:cs="仿宋_GB2312"/>
                <w:sz w:val="24"/>
                <w:szCs w:val="24"/>
                <w:lang w:eastAsia="zh-CN"/>
              </w:rPr>
              <w:t>开工；</w:t>
            </w:r>
            <w:r>
              <w:rPr>
                <w:rFonts w:hint="eastAsia" w:cs="仿宋_GB2312"/>
                <w:sz w:val="24"/>
                <w:szCs w:val="24"/>
                <w:lang w:val="en-US" w:eastAsia="zh-CN"/>
              </w:rPr>
              <w:t>4.</w:t>
            </w:r>
            <w:r>
              <w:rPr>
                <w:rFonts w:hint="eastAsia" w:ascii="仿宋_GB2312" w:hAnsi="仿宋_GB2312" w:eastAsia="仿宋_GB2312" w:cs="仿宋_GB2312"/>
                <w:sz w:val="24"/>
                <w:szCs w:val="24"/>
                <w:lang w:eastAsia="zh-CN"/>
              </w:rPr>
              <w:t>四季度整县屋顶分布式开发项目、</w:t>
            </w:r>
            <w:r>
              <w:rPr>
                <w:rFonts w:hint="eastAsia" w:ascii="仿宋_GB2312" w:hAnsi="仿宋_GB2312" w:eastAsia="仿宋_GB2312" w:cs="仿宋_GB2312"/>
                <w:sz w:val="24"/>
                <w:szCs w:val="24"/>
              </w:rPr>
              <w:t>碲化镉光伏发电玻璃及配套材料项目</w:t>
            </w:r>
            <w:r>
              <w:rPr>
                <w:rFonts w:hint="eastAsia" w:ascii="仿宋_GB2312" w:hAnsi="仿宋_GB2312" w:eastAsia="仿宋_GB2312" w:cs="仿宋_GB2312"/>
                <w:sz w:val="24"/>
                <w:szCs w:val="24"/>
                <w:lang w:eastAsia="zh-CN"/>
              </w:rPr>
              <w:t>开工建设。</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能源办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w:t>
            </w:r>
          </w:p>
        </w:tc>
        <w:tc>
          <w:tcPr>
            <w:tcW w:w="895" w:type="dxa"/>
            <w:gridSpan w:val="2"/>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倾力培育龙头企业</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开展优质企业梯度培育行动，加大个转企、小升规、规改股、股上市力度，新增规上工业企业 25 家、战新和高新企业各 5 家以上，认定科技型中小企业 30 家，造就更多“专精特新”企业和单项冠军企业。</w:t>
            </w:r>
          </w:p>
        </w:tc>
        <w:tc>
          <w:tcPr>
            <w:tcW w:w="6140" w:type="dxa"/>
            <w:vAlign w:val="center"/>
          </w:tcPr>
          <w:p>
            <w:pPr>
              <w:keepNext w:val="0"/>
              <w:keepLines w:val="0"/>
              <w:pageBreakBefore w:val="0"/>
              <w:numPr>
                <w:ilvl w:val="0"/>
                <w:numId w:val="1"/>
              </w:numPr>
              <w:kinsoku/>
              <w:wordWrap/>
              <w:overflowPunct/>
              <w:topLinePunct w:val="0"/>
              <w:bidi w:val="0"/>
              <w:adjustRightInd/>
              <w:snapToGrid/>
              <w:spacing w:line="400" w:lineRule="exact"/>
              <w:rPr>
                <w:rFonts w:hint="eastAsia" w:cs="仿宋_GB2312"/>
                <w:sz w:val="24"/>
                <w:szCs w:val="24"/>
                <w:lang w:val="en-US" w:eastAsia="zh-CN"/>
              </w:rPr>
            </w:pPr>
            <w:r>
              <w:rPr>
                <w:rFonts w:hint="eastAsia" w:ascii="仿宋_GB2312" w:hAnsi="仿宋_GB2312" w:eastAsia="仿宋_GB2312" w:cs="仿宋_GB2312"/>
                <w:sz w:val="24"/>
                <w:szCs w:val="24"/>
                <w:lang w:val="en-US" w:eastAsia="zh-CN"/>
              </w:rPr>
              <w:t>根据省、市申报文件，适时</w:t>
            </w:r>
            <w:r>
              <w:rPr>
                <w:rFonts w:hint="eastAsia" w:cs="仿宋_GB2312"/>
                <w:sz w:val="24"/>
                <w:szCs w:val="24"/>
                <w:lang w:val="en-US" w:eastAsia="zh-CN"/>
              </w:rPr>
              <w:t>完成新增战新企业上报；</w:t>
            </w:r>
          </w:p>
          <w:p>
            <w:pPr>
              <w:keepNext w:val="0"/>
              <w:keepLines w:val="0"/>
              <w:pageBreakBefore w:val="0"/>
              <w:numPr>
                <w:ilvl w:val="0"/>
                <w:numId w:val="0"/>
              </w:numPr>
              <w:kinsoku/>
              <w:wordWrap/>
              <w:overflowPunct/>
              <w:topLinePunct w:val="0"/>
              <w:bidi w:val="0"/>
              <w:adjustRightInd/>
              <w:snapToGrid/>
              <w:spacing w:line="400" w:lineRule="exact"/>
              <w:ind w:right="0" w:rightChars="0"/>
              <w:rPr>
                <w:rFonts w:hint="default" w:ascii="仿宋_GB2312" w:hAnsi="仿宋_GB2312" w:eastAsia="仿宋_GB2312" w:cs="仿宋_GB2312"/>
                <w:sz w:val="24"/>
                <w:szCs w:val="24"/>
                <w:lang w:val="en-US" w:eastAsia="zh-CN"/>
              </w:rPr>
            </w:pPr>
            <w:r>
              <w:rPr>
                <w:rFonts w:hint="eastAsia" w:cs="仿宋_GB2312"/>
                <w:sz w:val="24"/>
                <w:szCs w:val="24"/>
                <w:lang w:val="en-US" w:eastAsia="zh-CN"/>
              </w:rPr>
              <w:t>2.做好2022年度崭新企业“三重一创”申报工作。</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895" w:type="dxa"/>
            <w:gridSpan w:val="2"/>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倾力推动创新赋能</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加快制造业升级，确保战新、高新产业产值均增长 20</w:t>
            </w:r>
            <w:r>
              <w:rPr>
                <w:rFonts w:hint="eastAsia" w:ascii="仿宋_GB2312" w:hAnsi="仿宋_GB2312" w:eastAsia="仿宋_GB2312" w:cs="仿宋_GB2312"/>
                <w:sz w:val="24"/>
                <w:szCs w:val="24"/>
              </w:rPr>
              <w:drawing>
                <wp:inline distT="0" distB="0" distL="0" distR="0">
                  <wp:extent cx="66040" cy="116840"/>
                  <wp:effectExtent l="0" t="0" r="10160" b="16510"/>
                  <wp:docPr id="2"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0.png"/>
                          <pic:cNvPicPr>
                            <a:picLocks noChangeAspect="1"/>
                          </pic:cNvPicPr>
                        </pic:nvPicPr>
                        <pic:blipFill>
                          <a:blip r:embed="rId6" cstate="print"/>
                          <a:stretch>
                            <a:fillRect/>
                          </a:stretch>
                        </pic:blipFill>
                        <pic:spPr>
                          <a:xfrm>
                            <a:off x="0" y="0"/>
                            <a:ext cx="66674" cy="117474"/>
                          </a:xfrm>
                          <a:prstGeom prst="rect">
                            <a:avLst/>
                          </a:prstGeom>
                        </pic:spPr>
                      </pic:pic>
                    </a:graphicData>
                  </a:graphic>
                </wp:inline>
              </w:drawing>
            </w:r>
            <w:r>
              <w:rPr>
                <w:rFonts w:hint="eastAsia" w:ascii="仿宋_GB2312" w:hAnsi="仿宋_GB2312" w:eastAsia="仿宋_GB2312" w:cs="仿宋_GB2312"/>
                <w:sz w:val="24"/>
                <w:szCs w:val="24"/>
              </w:rPr>
              <w:t>以上。</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cs="仿宋_GB2312"/>
                <w:sz w:val="24"/>
                <w:szCs w:val="24"/>
                <w:lang w:val="en-US" w:eastAsia="zh-CN"/>
              </w:rPr>
              <w:t>1</w:t>
            </w:r>
            <w:r>
              <w:rPr>
                <w:rFonts w:hint="eastAsia" w:ascii="仿宋_GB2312" w:hAnsi="仿宋_GB2312" w:eastAsia="仿宋_GB2312" w:cs="仿宋_GB2312"/>
                <w:sz w:val="24"/>
                <w:szCs w:val="24"/>
                <w:lang w:val="en-US" w:eastAsia="zh-CN"/>
              </w:rPr>
              <w:t>.力争“双首位”“一园区一专项”年内有突破；</w:t>
            </w:r>
            <w:r>
              <w:rPr>
                <w:rFonts w:hint="eastAsia" w:cs="仿宋_GB2312"/>
                <w:sz w:val="24"/>
                <w:szCs w:val="24"/>
                <w:lang w:val="en-US" w:eastAsia="zh-CN"/>
              </w:rPr>
              <w:t>2.</w:t>
            </w:r>
            <w:r>
              <w:rPr>
                <w:rFonts w:hint="eastAsia" w:ascii="仿宋_GB2312" w:hAnsi="仿宋_GB2312" w:eastAsia="仿宋_GB2312" w:cs="仿宋_GB2312"/>
                <w:sz w:val="24"/>
                <w:szCs w:val="24"/>
                <w:lang w:val="en-US" w:eastAsia="zh-CN"/>
              </w:rPr>
              <w:t>以月保季，以季保年，力争完成</w:t>
            </w:r>
            <w:r>
              <w:rPr>
                <w:rFonts w:hint="eastAsia" w:cs="仿宋_GB2312"/>
                <w:sz w:val="24"/>
                <w:szCs w:val="24"/>
                <w:lang w:val="en-US" w:eastAsia="zh-CN"/>
              </w:rPr>
              <w:t>战新</w:t>
            </w:r>
            <w:r>
              <w:rPr>
                <w:rFonts w:hint="eastAsia" w:ascii="仿宋_GB2312" w:hAnsi="仿宋_GB2312" w:eastAsia="仿宋_GB2312" w:cs="仿宋_GB2312"/>
                <w:sz w:val="24"/>
                <w:szCs w:val="24"/>
                <w:lang w:val="en-US" w:eastAsia="zh-CN"/>
              </w:rPr>
              <w:t>年度目标任务。</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895" w:type="dxa"/>
            <w:gridSpan w:val="2"/>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进一步优化发展格局</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高标准建设临江产业园，推动枞阳港枢纽、枞阳小港航道、南方综合码头早日动工，实施 110 千伏临江变、滨江大道二期、县城污水处理扩建等基础设施项目，超前布局生产性、生活性服务业项目，积极引进战略投资者整体开发东方造船片区，努力打造拥江发展战略支点。</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cs="仿宋_GB2312"/>
                <w:sz w:val="24"/>
                <w:szCs w:val="24"/>
                <w:lang w:val="en-US" w:eastAsia="zh-CN"/>
              </w:rPr>
              <w:t>1.上半年完成《枞阳临江产业园发展规划》印发；2.配合小港航道建设年内竣工；3.年内有序启动枞阳港枢纽建设；4.依托规划，做好临江产业园宣传工作，力争今年引入战略投资者，建立合作投资模式。</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何新友</w:t>
            </w: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cs="仿宋_GB2312"/>
                <w:sz w:val="24"/>
                <w:szCs w:val="24"/>
                <w:lang w:val="en-US" w:eastAsia="zh-CN"/>
              </w:rPr>
              <w:t>引江办</w:t>
            </w:r>
            <w:r>
              <w:rPr>
                <w:rFonts w:hint="eastAsia" w:ascii="仿宋_GB2312" w:hAnsi="仿宋_GB2312" w:eastAsia="仿宋_GB2312" w:cs="仿宋_GB2312"/>
                <w:sz w:val="24"/>
                <w:szCs w:val="24"/>
                <w:lang w:val="en-US" w:eastAsia="zh-CN"/>
              </w:rPr>
              <w:t>临江办</w:t>
            </w: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w:t>
            </w:r>
          </w:p>
        </w:tc>
        <w:tc>
          <w:tcPr>
            <w:tcW w:w="895" w:type="dxa"/>
            <w:gridSpan w:val="2"/>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在项目谋划上抢先机</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强化抓项目谋划就是抓发展机遇意识，精准把握国家政策导向和资金投向，找准契合点和突破口，谋划好重大项目， 建设好动态储备库，做深做实前期工作，争取更多项目纳入国家和省市投资计划。</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按照时间要求，及时做好</w:t>
            </w:r>
            <w:r>
              <w:rPr>
                <w:rFonts w:hint="eastAsia" w:cs="仿宋_GB2312"/>
                <w:sz w:val="24"/>
                <w:szCs w:val="24"/>
                <w:lang w:val="en-US" w:eastAsia="zh-CN"/>
              </w:rPr>
              <w:t>中央政策内项目及其他政府专项债项目</w:t>
            </w:r>
            <w:r>
              <w:rPr>
                <w:rFonts w:hint="eastAsia" w:ascii="仿宋_GB2312" w:hAnsi="仿宋_GB2312" w:eastAsia="仿宋_GB2312" w:cs="仿宋_GB2312"/>
                <w:sz w:val="24"/>
                <w:szCs w:val="24"/>
                <w:lang w:val="en-US" w:eastAsia="zh-CN"/>
              </w:rPr>
              <w:t>申报工作。密切关注，持续推进</w:t>
            </w:r>
            <w:r>
              <w:rPr>
                <w:rFonts w:hint="eastAsia" w:cs="仿宋_GB2312"/>
                <w:sz w:val="24"/>
                <w:szCs w:val="24"/>
                <w:lang w:val="en-US" w:eastAsia="zh-CN"/>
              </w:rPr>
              <w:t>。</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何新友</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88</w:t>
            </w:r>
          </w:p>
        </w:tc>
        <w:tc>
          <w:tcPr>
            <w:tcW w:w="895" w:type="dxa"/>
            <w:gridSpan w:val="2"/>
            <w:vMerge w:val="restart"/>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在项目建设上求实效</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继续开展“重大项目攻坚年”活动，实施省市重点项目131 个，完成投资 130.9 亿元。</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逐月落实攻坚年活动方案，围绕</w:t>
            </w:r>
            <w:r>
              <w:rPr>
                <w:rFonts w:hint="eastAsia" w:ascii="仿宋_GB2312" w:hAnsi="仿宋_GB2312" w:eastAsia="仿宋_GB2312" w:cs="仿宋_GB2312"/>
                <w:sz w:val="24"/>
                <w:szCs w:val="24"/>
              </w:rPr>
              <w:t>“赛马”机制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持续推进项目建设</w:t>
            </w:r>
            <w:r>
              <w:rPr>
                <w:rFonts w:hint="eastAsia" w:cs="仿宋_GB2312"/>
                <w:sz w:val="24"/>
                <w:szCs w:val="24"/>
                <w:lang w:val="en-US" w:eastAsia="zh-CN"/>
              </w:rPr>
              <w:t>。</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何新友</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0"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89</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落实省高质量投资“赛马”激励机制，强化“四督四保” “五个一”工作机制，推行项目全生命周期服务管理，力促重点项目快建设、快竣工、快入统。</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持续推进</w:t>
            </w:r>
            <w:r>
              <w:rPr>
                <w:rFonts w:hint="eastAsia" w:cs="仿宋_GB2312"/>
                <w:sz w:val="24"/>
                <w:szCs w:val="24"/>
                <w:lang w:val="en-US" w:eastAsia="zh-CN"/>
              </w:rPr>
              <w:t>。</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何新友</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90</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健全重大项目调度机制，精准研判难点堵点，综合施策、现场办公，及时解决项目前期准备和建设过程中各类问题。</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周调度，旬落实，月汇总</w:t>
            </w:r>
            <w:r>
              <w:rPr>
                <w:rFonts w:hint="eastAsia" w:cs="仿宋_GB2312"/>
                <w:sz w:val="24"/>
                <w:szCs w:val="24"/>
                <w:lang w:val="en-US" w:eastAsia="zh-CN"/>
              </w:rPr>
              <w:t>，持续推进。</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何新友</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91</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强化重大项目落地要素保障，超前做好土地征收成片开发、耕地占补平衡、能耗等量减量替代等基础性工作，完成增减挂及工矿废弃地复垦利用 1500 亩。</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密切关注，持续推进</w:t>
            </w:r>
            <w:r>
              <w:rPr>
                <w:rFonts w:hint="eastAsia" w:cs="仿宋_GB2312"/>
                <w:sz w:val="24"/>
                <w:szCs w:val="24"/>
                <w:lang w:val="en-US" w:eastAsia="zh-CN"/>
              </w:rPr>
              <w:t>。</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何新友</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102</w:t>
            </w:r>
          </w:p>
        </w:tc>
        <w:tc>
          <w:tcPr>
            <w:tcW w:w="895" w:type="dxa"/>
            <w:gridSpan w:val="2"/>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深化重点领域改革</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深化要素市场化配置改革，用最快的速度让最好的项目获得最优的资源要素。</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密切关注，持续推进</w:t>
            </w:r>
            <w:r>
              <w:rPr>
                <w:rFonts w:hint="eastAsia" w:cs="仿宋_GB2312"/>
                <w:sz w:val="24"/>
                <w:szCs w:val="24"/>
                <w:lang w:val="en-US" w:eastAsia="zh-CN"/>
              </w:rPr>
              <w:t>。</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何新友</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108</w:t>
            </w:r>
          </w:p>
        </w:tc>
        <w:tc>
          <w:tcPr>
            <w:tcW w:w="895" w:type="dxa"/>
            <w:gridSpan w:val="2"/>
            <w:vMerge w:val="restart"/>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深度融入长三角一体化</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紧扣一体化和高质量两个关键，以理念观念、产业发展、科技创新、体制机制“四个一体化”为重点，立足资源禀赋，突破县域思维，努力建设更高水平的“两地两区”。</w:t>
            </w:r>
          </w:p>
        </w:tc>
        <w:tc>
          <w:tcPr>
            <w:tcW w:w="6140"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1.3</w:t>
            </w:r>
            <w:r>
              <w:rPr>
                <w:rFonts w:hint="eastAsia" w:ascii="仿宋_GB2312" w:hAnsi="仿宋_GB2312" w:eastAsia="仿宋_GB2312" w:cs="仿宋_GB2312"/>
                <w:sz w:val="24"/>
                <w:szCs w:val="24"/>
                <w:lang w:val="en-US" w:eastAsia="zh-CN"/>
              </w:rPr>
              <w:t>月底完成</w:t>
            </w:r>
            <w:r>
              <w:rPr>
                <w:rFonts w:hint="eastAsia" w:cs="仿宋_GB2312"/>
                <w:sz w:val="24"/>
                <w:szCs w:val="24"/>
                <w:lang w:val="en-US" w:eastAsia="zh-CN"/>
              </w:rPr>
              <w:t>工作方案</w:t>
            </w:r>
            <w:r>
              <w:rPr>
                <w:rFonts w:hint="eastAsia" w:ascii="仿宋_GB2312" w:hAnsi="仿宋_GB2312" w:eastAsia="仿宋_GB2312" w:cs="仿宋_GB2312"/>
                <w:sz w:val="24"/>
                <w:szCs w:val="24"/>
                <w:lang w:val="en-US" w:eastAsia="zh-CN"/>
              </w:rPr>
              <w:t>意见征求，</w:t>
            </w:r>
            <w:r>
              <w:rPr>
                <w:rFonts w:hint="eastAsia" w:cs="仿宋_GB2312"/>
                <w:sz w:val="24"/>
                <w:szCs w:val="24"/>
                <w:lang w:val="en-US" w:eastAsia="zh-CN"/>
              </w:rPr>
              <w:t>4</w:t>
            </w:r>
            <w:r>
              <w:rPr>
                <w:rFonts w:hint="eastAsia" w:ascii="仿宋_GB2312" w:hAnsi="仿宋_GB2312" w:eastAsia="仿宋_GB2312" w:cs="仿宋_GB2312"/>
                <w:sz w:val="24"/>
                <w:szCs w:val="24"/>
                <w:lang w:val="en-US" w:eastAsia="zh-CN"/>
              </w:rPr>
              <w:t>月</w:t>
            </w:r>
            <w:r>
              <w:rPr>
                <w:rFonts w:hint="eastAsia" w:cs="仿宋_GB2312"/>
                <w:sz w:val="24"/>
                <w:szCs w:val="24"/>
                <w:lang w:val="en-US" w:eastAsia="zh-CN"/>
              </w:rPr>
              <w:t>份</w:t>
            </w:r>
            <w:r>
              <w:rPr>
                <w:rFonts w:hint="eastAsia" w:ascii="仿宋_GB2312" w:hAnsi="仿宋_GB2312" w:eastAsia="仿宋_GB2312" w:cs="仿宋_GB2312"/>
                <w:sz w:val="24"/>
                <w:szCs w:val="24"/>
                <w:lang w:val="en-US" w:eastAsia="zh-CN"/>
              </w:rPr>
              <w:t>印发</w:t>
            </w:r>
            <w:r>
              <w:rPr>
                <w:rFonts w:hint="eastAsia" w:cs="仿宋_GB2312"/>
                <w:sz w:val="24"/>
                <w:szCs w:val="24"/>
                <w:lang w:val="en-US" w:eastAsia="zh-CN"/>
              </w:rPr>
              <w:t>；2.分季度开展工作督查。</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深化与江阴市战略合作，在产业招商、科技创新等领域谋划一批重点合作项目，力争形成实质性合作成果。</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cs="仿宋_GB2312"/>
                <w:sz w:val="24"/>
                <w:szCs w:val="24"/>
                <w:lang w:val="en-US" w:eastAsia="zh-CN"/>
              </w:rPr>
              <w:t>1.</w:t>
            </w:r>
            <w:r>
              <w:rPr>
                <w:rFonts w:hint="eastAsia" w:ascii="仿宋_GB2312" w:hAnsi="仿宋_GB2312" w:eastAsia="仿宋_GB2312" w:cs="仿宋_GB2312"/>
                <w:sz w:val="24"/>
                <w:szCs w:val="24"/>
                <w:lang w:val="en-US" w:eastAsia="zh-CN"/>
              </w:rPr>
              <w:t>每月更新并做实做深项目库；</w:t>
            </w:r>
            <w:r>
              <w:rPr>
                <w:rFonts w:hint="eastAsia" w:cs="仿宋_GB2312"/>
                <w:sz w:val="24"/>
                <w:szCs w:val="24"/>
                <w:lang w:val="en-US" w:eastAsia="zh-CN"/>
              </w:rPr>
              <w:t>2.</w:t>
            </w:r>
            <w:r>
              <w:rPr>
                <w:rFonts w:hint="eastAsia" w:ascii="仿宋_GB2312" w:hAnsi="仿宋_GB2312" w:eastAsia="仿宋_GB2312" w:cs="仿宋_GB2312"/>
                <w:sz w:val="24"/>
                <w:szCs w:val="24"/>
                <w:lang w:val="en-US" w:eastAsia="zh-CN"/>
              </w:rPr>
              <w:t>加强招商</w:t>
            </w:r>
            <w:r>
              <w:rPr>
                <w:rFonts w:hint="eastAsia" w:cs="仿宋_GB2312"/>
                <w:sz w:val="24"/>
                <w:szCs w:val="24"/>
                <w:lang w:val="en-US" w:eastAsia="zh-CN"/>
              </w:rPr>
              <w:t>月度</w:t>
            </w:r>
            <w:r>
              <w:rPr>
                <w:rFonts w:hint="eastAsia" w:ascii="仿宋_GB2312" w:hAnsi="仿宋_GB2312" w:eastAsia="仿宋_GB2312" w:cs="仿宋_GB2312"/>
                <w:sz w:val="24"/>
                <w:szCs w:val="24"/>
                <w:lang w:val="en-US" w:eastAsia="zh-CN"/>
              </w:rPr>
              <w:t>跟进。</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124</w:t>
            </w:r>
          </w:p>
        </w:tc>
        <w:tc>
          <w:tcPr>
            <w:tcW w:w="895" w:type="dxa"/>
            <w:gridSpan w:val="2"/>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提升基础设施支撑力</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完成天然气桐城-枞阳支线主管道建设，加快推动管道气进企入户。</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cs="仿宋_GB2312"/>
                <w:sz w:val="24"/>
                <w:szCs w:val="24"/>
                <w:lang w:val="en-US" w:eastAsia="zh-CN"/>
              </w:rPr>
              <w:t>1.二</w:t>
            </w:r>
            <w:r>
              <w:rPr>
                <w:rFonts w:hint="eastAsia" w:ascii="仿宋_GB2312" w:hAnsi="仿宋_GB2312" w:eastAsia="仿宋_GB2312" w:cs="仿宋_GB2312"/>
                <w:sz w:val="24"/>
                <w:szCs w:val="24"/>
                <w:lang w:eastAsia="zh-CN"/>
              </w:rPr>
              <w:t>季度完成</w:t>
            </w:r>
            <w:r>
              <w:rPr>
                <w:rFonts w:hint="eastAsia" w:ascii="仿宋_GB2312" w:hAnsi="仿宋_GB2312" w:eastAsia="仿宋_GB2312" w:cs="仿宋_GB2312"/>
                <w:sz w:val="24"/>
                <w:szCs w:val="24"/>
              </w:rPr>
              <w:t>天然气桐城-枞阳支线</w:t>
            </w:r>
            <w:r>
              <w:rPr>
                <w:rFonts w:hint="eastAsia" w:ascii="仿宋_GB2312" w:hAnsi="仿宋_GB2312" w:eastAsia="仿宋_GB2312" w:cs="仿宋_GB2312"/>
                <w:sz w:val="24"/>
                <w:szCs w:val="24"/>
                <w:lang w:eastAsia="zh-CN"/>
              </w:rPr>
              <w:t>会宫输气站设备安装以及室内装潢；</w:t>
            </w:r>
            <w:r>
              <w:rPr>
                <w:rFonts w:hint="eastAsia" w:cs="仿宋_GB2312"/>
                <w:sz w:val="24"/>
                <w:szCs w:val="24"/>
                <w:lang w:val="en-US" w:eastAsia="zh-CN"/>
              </w:rPr>
              <w:t>2.</w:t>
            </w:r>
            <w:r>
              <w:rPr>
                <w:rFonts w:hint="eastAsia" w:ascii="仿宋_GB2312" w:hAnsi="仿宋_GB2312" w:eastAsia="仿宋_GB2312" w:cs="仿宋_GB2312"/>
                <w:sz w:val="24"/>
                <w:szCs w:val="24"/>
                <w:lang w:eastAsia="zh-CN"/>
              </w:rPr>
              <w:t>二季度力争义津阀室开工；</w:t>
            </w:r>
            <w:r>
              <w:rPr>
                <w:rFonts w:hint="eastAsia" w:cs="仿宋_GB2312"/>
                <w:sz w:val="24"/>
                <w:szCs w:val="24"/>
                <w:lang w:val="en-US" w:eastAsia="zh-CN"/>
              </w:rPr>
              <w:t>3.</w:t>
            </w:r>
            <w:r>
              <w:rPr>
                <w:rFonts w:hint="eastAsia" w:ascii="仿宋_GB2312" w:hAnsi="仿宋_GB2312" w:eastAsia="仿宋_GB2312" w:cs="仿宋_GB2312"/>
                <w:sz w:val="24"/>
                <w:szCs w:val="24"/>
                <w:lang w:eastAsia="zh-CN"/>
              </w:rPr>
              <w:t>三季度完成义津阀室建设；</w:t>
            </w:r>
            <w:r>
              <w:rPr>
                <w:rFonts w:hint="eastAsia" w:cs="仿宋_GB2312"/>
                <w:sz w:val="24"/>
                <w:szCs w:val="24"/>
                <w:lang w:val="en-US" w:eastAsia="zh-CN"/>
              </w:rPr>
              <w:t>4.</w:t>
            </w:r>
            <w:r>
              <w:rPr>
                <w:rFonts w:hint="eastAsia" w:ascii="仿宋_GB2312" w:hAnsi="仿宋_GB2312" w:eastAsia="仿宋_GB2312" w:cs="仿宋_GB2312"/>
                <w:sz w:val="24"/>
                <w:szCs w:val="24"/>
                <w:lang w:eastAsia="zh-CN"/>
              </w:rPr>
              <w:t>四季度完成管线工程</w:t>
            </w:r>
            <w:r>
              <w:rPr>
                <w:rFonts w:hint="eastAsia" w:ascii="仿宋_GB2312" w:hAnsi="仿宋_GB2312" w:eastAsia="仿宋_GB2312" w:cs="仿宋_GB2312"/>
                <w:sz w:val="24"/>
                <w:szCs w:val="24"/>
                <w:lang w:val="en-US" w:eastAsia="zh-CN"/>
              </w:rPr>
              <w:t>,力争</w:t>
            </w:r>
            <w:r>
              <w:rPr>
                <w:rFonts w:hint="eastAsia" w:ascii="仿宋_GB2312" w:hAnsi="仿宋_GB2312" w:eastAsia="仿宋_GB2312" w:cs="仿宋_GB2312"/>
                <w:sz w:val="24"/>
                <w:szCs w:val="24"/>
                <w:lang w:eastAsia="zh-CN"/>
              </w:rPr>
              <w:t>会宫</w:t>
            </w:r>
            <w:r>
              <w:rPr>
                <w:rFonts w:hint="eastAsia" w:ascii="仿宋_GB2312" w:hAnsi="仿宋_GB2312" w:eastAsia="仿宋_GB2312" w:cs="仿宋_GB2312"/>
                <w:sz w:val="24"/>
                <w:szCs w:val="24"/>
                <w:lang w:val="en-US" w:eastAsia="zh-CN"/>
              </w:rPr>
              <w:t>-枞阳、会宫横埠支线开工建设。</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能源办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134</w:t>
            </w:r>
          </w:p>
        </w:tc>
        <w:tc>
          <w:tcPr>
            <w:tcW w:w="895" w:type="dxa"/>
            <w:gridSpan w:val="2"/>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提升生态环境竞争力</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落实碳达峰碳中和部署，编制“双碳”实施方案，强化能耗和碳排放管理，坚决遏制高耗能高排放项目盲目发展。</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cs="仿宋_GB2312"/>
                <w:sz w:val="24"/>
                <w:szCs w:val="24"/>
                <w:lang w:val="en-US" w:eastAsia="zh-CN"/>
              </w:rPr>
              <w:t>1.</w:t>
            </w:r>
            <w:r>
              <w:rPr>
                <w:rFonts w:hint="eastAsia" w:ascii="仿宋_GB2312" w:hAnsi="仿宋_GB2312" w:eastAsia="仿宋_GB2312" w:cs="仿宋_GB2312"/>
                <w:sz w:val="24"/>
                <w:szCs w:val="24"/>
                <w:lang w:val="zh-CN" w:eastAsia="zh-CN"/>
              </w:rPr>
              <w:t>待市“双碳”实施方案印发后，适时印发我县实施方案，预计二季度完成；</w:t>
            </w:r>
            <w:r>
              <w:rPr>
                <w:rFonts w:hint="eastAsia" w:cs="仿宋_GB2312"/>
                <w:sz w:val="24"/>
                <w:szCs w:val="24"/>
                <w:lang w:val="en-US" w:eastAsia="zh-CN"/>
              </w:rPr>
              <w:t>2.</w:t>
            </w:r>
            <w:r>
              <w:rPr>
                <w:rFonts w:hint="eastAsia" w:ascii="仿宋_GB2312" w:hAnsi="仿宋_GB2312" w:eastAsia="仿宋_GB2312" w:cs="仿宋_GB2312"/>
                <w:sz w:val="24"/>
                <w:szCs w:val="24"/>
                <w:lang w:val="zh-CN" w:eastAsia="zh-CN"/>
              </w:rPr>
              <w:t>加强对固定资产投资项目的日常监管，指导其根据实际耗能情况进行节能审查工作；</w:t>
            </w:r>
            <w:r>
              <w:rPr>
                <w:rFonts w:hint="eastAsia" w:cs="仿宋_GB2312"/>
                <w:sz w:val="24"/>
                <w:szCs w:val="24"/>
                <w:lang w:val="en-US" w:eastAsia="zh-CN"/>
              </w:rPr>
              <w:t>3.</w:t>
            </w:r>
            <w:r>
              <w:rPr>
                <w:rFonts w:hint="eastAsia" w:ascii="仿宋_GB2312" w:hAnsi="仿宋_GB2312" w:eastAsia="仿宋_GB2312" w:cs="仿宋_GB2312"/>
                <w:sz w:val="24"/>
                <w:szCs w:val="24"/>
                <w:lang w:val="zh-CN" w:eastAsia="zh-CN"/>
              </w:rPr>
              <w:t>加强对高耗能项目管理，新上高耗能项目，严格实施煤耗、能耗减量替代制度。</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能源办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148</w:t>
            </w:r>
          </w:p>
        </w:tc>
        <w:tc>
          <w:tcPr>
            <w:tcW w:w="895" w:type="dxa"/>
            <w:gridSpan w:val="2"/>
            <w:vMerge w:val="restart"/>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建设特色乡镇</w:t>
            </w: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完善促进乡镇发展政策措施，增强乡镇自主发展意识，引导各乡镇抓经济、鼓干劲、争上游，培育一批制造强镇、农业强镇、商贸强镇、文旅强镇。</w:t>
            </w:r>
          </w:p>
        </w:tc>
        <w:tc>
          <w:tcPr>
            <w:tcW w:w="6140"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1.</w:t>
            </w:r>
            <w:r>
              <w:rPr>
                <w:rFonts w:hint="eastAsia" w:ascii="仿宋_GB2312" w:hAnsi="仿宋_GB2312" w:eastAsia="仿宋_GB2312" w:cs="仿宋_GB2312"/>
                <w:sz w:val="24"/>
                <w:szCs w:val="24"/>
                <w:lang w:val="en-US" w:eastAsia="zh-CN"/>
              </w:rPr>
              <w:t>适时制定“一镇一业”发展政策</w:t>
            </w:r>
            <w:r>
              <w:rPr>
                <w:rFonts w:hint="eastAsia" w:cs="仿宋_GB2312"/>
                <w:sz w:val="24"/>
                <w:szCs w:val="24"/>
                <w:lang w:val="en-US" w:eastAsia="zh-CN"/>
              </w:rPr>
              <w:t>；2.形成项目库年度滚动机制；3.借力江阴，探索合作推进机制。</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150</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推动县城规划区乡镇联动发展，推动产城港一体化发展， 加快打造县城核心经济圈。</w:t>
            </w:r>
          </w:p>
        </w:tc>
        <w:tc>
          <w:tcPr>
            <w:tcW w:w="6140" w:type="dxa"/>
            <w:vAlign w:val="center"/>
          </w:tcPr>
          <w:p>
            <w:pPr>
              <w:keepNext w:val="0"/>
              <w:keepLines w:val="0"/>
              <w:pageBreakBefore w:val="0"/>
              <w:kinsoku/>
              <w:wordWrap/>
              <w:overflowPunct/>
              <w:topLinePunct w:val="0"/>
              <w:bidi w:val="0"/>
              <w:adjustRightInd/>
              <w:snapToGrid/>
              <w:spacing w:line="400" w:lineRule="exact"/>
              <w:rPr>
                <w:rFonts w:hint="default" w:ascii="仿宋_GB2312" w:hAnsi="仿宋_GB2312" w:eastAsia="仿宋_GB2312" w:cs="仿宋_GB2312"/>
                <w:sz w:val="24"/>
                <w:szCs w:val="24"/>
                <w:lang w:val="en-US" w:eastAsia="zh-CN"/>
              </w:rPr>
            </w:pPr>
            <w:r>
              <w:rPr>
                <w:rFonts w:hint="eastAsia" w:cs="仿宋_GB2312"/>
                <w:sz w:val="24"/>
                <w:szCs w:val="24"/>
                <w:lang w:val="en-US" w:eastAsia="zh-CN"/>
              </w:rPr>
              <w:t>1.有序</w:t>
            </w:r>
            <w:r>
              <w:rPr>
                <w:rFonts w:hint="eastAsia" w:ascii="仿宋_GB2312" w:hAnsi="仿宋_GB2312" w:eastAsia="仿宋_GB2312" w:cs="仿宋_GB2312"/>
                <w:sz w:val="24"/>
                <w:szCs w:val="24"/>
                <w:lang w:val="en-US" w:eastAsia="zh-CN"/>
              </w:rPr>
              <w:t>推进临江产业园建设，依托枞阳枢纽港，推动枞阳县城产城港一体化发展</w:t>
            </w:r>
            <w:r>
              <w:rPr>
                <w:rFonts w:hint="eastAsia" w:cs="仿宋_GB2312"/>
                <w:sz w:val="24"/>
                <w:szCs w:val="24"/>
                <w:lang w:val="en-US" w:eastAsia="zh-CN"/>
              </w:rPr>
              <w:t>；</w:t>
            </w:r>
            <w:r>
              <w:rPr>
                <w:rFonts w:hint="eastAsia" w:ascii="仿宋_GB2312" w:hAnsi="仿宋_GB2312" w:eastAsia="仿宋_GB2312" w:cs="仿宋_GB2312"/>
                <w:sz w:val="24"/>
                <w:szCs w:val="24"/>
                <w:lang w:val="en-US" w:eastAsia="zh-CN"/>
              </w:rPr>
              <w:t>2.有序推进县域基础设施类、文旅类项目建设。</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151</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支持横埠镇实施经济发达镇行政管理体制改革、建设绿色家居智造特色小镇，加快打造县域副中心。</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w:t>
            </w:r>
            <w:r>
              <w:rPr>
                <w:rFonts w:hint="eastAsia" w:cs="仿宋_GB2312"/>
                <w:sz w:val="24"/>
                <w:szCs w:val="24"/>
                <w:lang w:val="en-US" w:eastAsia="zh-CN"/>
              </w:rPr>
              <w:t>2年培育、</w:t>
            </w:r>
            <w:r>
              <w:rPr>
                <w:rFonts w:hint="eastAsia" w:ascii="仿宋_GB2312" w:hAnsi="仿宋_GB2312" w:eastAsia="仿宋_GB2312" w:cs="仿宋_GB2312"/>
                <w:sz w:val="24"/>
                <w:szCs w:val="24"/>
                <w:lang w:val="en-US" w:eastAsia="zh-CN"/>
              </w:rPr>
              <w:t>2023年拟申报特色小镇。</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jc w:val="center"/>
        </w:trPr>
        <w:tc>
          <w:tcPr>
            <w:tcW w:w="546" w:type="dxa"/>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152</w:t>
            </w:r>
          </w:p>
        </w:tc>
        <w:tc>
          <w:tcPr>
            <w:tcW w:w="895" w:type="dxa"/>
            <w:gridSpan w:val="2"/>
            <w:vMerge w:val="continue"/>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p>
        </w:tc>
        <w:tc>
          <w:tcPr>
            <w:tcW w:w="436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支持浮山研学、汤沟光伏、项铺雨具、金社种子、麒麟苗木花卉等特色小城镇建设，支持各乡镇用好国家和省级品牌、争创新的品牌，以多点支撑带动全局发展。</w:t>
            </w:r>
          </w:p>
        </w:tc>
        <w:tc>
          <w:tcPr>
            <w:tcW w:w="6140"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1.2022年开始委托咨询机构以特色小镇申报要求做好项铺雨具等条件较好的特色小镇申报辅导；2.到2025年培育金社种子等2家以上微型产业集聚区</w:t>
            </w:r>
            <w:r>
              <w:rPr>
                <w:rFonts w:hint="eastAsia" w:cs="仿宋_GB2312"/>
                <w:sz w:val="24"/>
                <w:szCs w:val="24"/>
                <w:lang w:val="en-US" w:eastAsia="zh-CN"/>
              </w:rPr>
              <w:t>。</w:t>
            </w:r>
          </w:p>
        </w:tc>
        <w:tc>
          <w:tcPr>
            <w:tcW w:w="915"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刘静</w:t>
            </w:r>
          </w:p>
        </w:tc>
        <w:tc>
          <w:tcPr>
            <w:tcW w:w="866" w:type="dxa"/>
            <w:vAlign w:val="center"/>
          </w:tcPr>
          <w:p>
            <w:pPr>
              <w:keepNext w:val="0"/>
              <w:keepLines w:val="0"/>
              <w:pageBreakBefore w:val="0"/>
              <w:kinsoku/>
              <w:wordWrap/>
              <w:overflowPunct/>
              <w:topLinePunct w:val="0"/>
              <w:bidi w:val="0"/>
              <w:adjustRightInd/>
              <w:snapToGrid/>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综合股</w:t>
            </w:r>
          </w:p>
        </w:tc>
      </w:tr>
    </w:tbl>
    <w:p>
      <w:pPr>
        <w:keepNext w:val="0"/>
        <w:keepLines w:val="0"/>
        <w:pageBreakBefore w:val="0"/>
        <w:kinsoku/>
        <w:wordWrap/>
        <w:overflowPunct/>
        <w:topLinePunct w:val="0"/>
        <w:autoSpaceDE w:val="0"/>
        <w:autoSpaceDN w:val="0"/>
        <w:bidi w:val="0"/>
        <w:adjustRightInd/>
        <w:snapToGrid/>
        <w:spacing w:line="400" w:lineRule="exact"/>
        <w:rPr>
          <w:rFonts w:hint="eastAsia" w:ascii="仿宋_GB2312" w:hAnsi="仿宋_GB2312" w:eastAsia="仿宋_GB2312" w:cs="仿宋_GB2312"/>
          <w:sz w:val="24"/>
          <w:szCs w:val="24"/>
          <w:lang w:val="en-US" w:eastAsia="zh-CN"/>
        </w:rPr>
      </w:pPr>
    </w:p>
    <w:p>
      <w:pPr>
        <w:bidi w:val="0"/>
        <w:rPr>
          <w:rFonts w:hint="eastAsia" w:ascii="仿宋_GB2312" w:hAnsi="仿宋_GB2312" w:eastAsia="仿宋_GB2312" w:cs="仿宋_GB2312"/>
          <w:sz w:val="22"/>
          <w:szCs w:val="22"/>
          <w:lang w:val="en-US" w:eastAsia="zh-CN" w:bidi="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208"/>
        </w:tabs>
        <w:bidi w:val="0"/>
        <w:jc w:val="center"/>
        <w:rPr>
          <w:rFonts w:hint="default"/>
          <w:lang w:val="en-US" w:eastAsia="zh-CN"/>
        </w:rPr>
      </w:pPr>
      <w:r>
        <w:rPr>
          <w:rFonts w:hint="eastAsia"/>
          <w:lang w:val="en-US" w:eastAsia="zh-CN"/>
        </w:rPr>
        <w:br w:type="textWrapping"/>
      </w:r>
      <w:r>
        <w:rPr>
          <w:rFonts w:hint="eastAsia"/>
          <w:sz w:val="32"/>
          <w:szCs w:val="32"/>
          <w:lang w:val="en-US" w:eastAsia="zh-CN"/>
        </w:rPr>
        <w:t>监督电话：5733007</w:t>
      </w:r>
    </w:p>
    <w:sectPr>
      <w:pgSz w:w="23811" w:h="16838" w:orient="landscape"/>
      <w:pgMar w:top="1134" w:right="850" w:bottom="1134" w:left="850" w:header="851"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78D68F-1154-4D5B-8E03-1E6F23D1F9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BE41FF-DEAD-46B6-8D57-6BF80B875214}"/>
  </w:font>
  <w:font w:name="仿宋_GB2312">
    <w:altName w:val="仿宋"/>
    <w:panose1 w:val="02010609030101010101"/>
    <w:charset w:val="86"/>
    <w:family w:val="auto"/>
    <w:pitch w:val="default"/>
    <w:sig w:usb0="00000000" w:usb1="00000000" w:usb2="00000000" w:usb3="00000000" w:csb0="00040000" w:csb1="00000000"/>
    <w:embedRegular r:id="rId3" w:fontKey="{B1E842CF-351C-4B84-A92C-D657B1A16C63}"/>
  </w:font>
  <w:font w:name="仿宋">
    <w:panose1 w:val="02010609060101010101"/>
    <w:charset w:val="86"/>
    <w:family w:val="auto"/>
    <w:pitch w:val="default"/>
    <w:sig w:usb0="800002BF" w:usb1="38CF7CFA" w:usb2="00000016" w:usb3="00000000" w:csb0="00040001" w:csb1="00000000"/>
    <w:embedRegular r:id="rId4" w:fontKey="{46B955AB-9813-4B80-A88C-5FB6A25FEFF6}"/>
  </w:font>
  <w:font w:name="方正小标宋简体">
    <w:panose1 w:val="02000000000000000000"/>
    <w:charset w:val="86"/>
    <w:family w:val="auto"/>
    <w:pitch w:val="default"/>
    <w:sig w:usb0="00000001" w:usb1="08000000" w:usb2="00000000" w:usb3="00000000" w:csb0="00040000" w:csb1="00000000"/>
    <w:embedRegular r:id="rId5" w:fontKey="{7910490E-D88F-4668-AAEF-57DB6C755F3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FF824"/>
    <w:multiLevelType w:val="singleLevel"/>
    <w:tmpl w:val="721FF8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TUyMDlkNmQyZmU2YTY2OTkzMTQxYjAzYTZiMTQifQ=="/>
  </w:docVars>
  <w:rsids>
    <w:rsidRoot w:val="00000000"/>
    <w:rsid w:val="000133A7"/>
    <w:rsid w:val="02A37BFF"/>
    <w:rsid w:val="02F45F64"/>
    <w:rsid w:val="042332DB"/>
    <w:rsid w:val="055558A7"/>
    <w:rsid w:val="05D14557"/>
    <w:rsid w:val="05D443D1"/>
    <w:rsid w:val="066E3AD5"/>
    <w:rsid w:val="07B16AC6"/>
    <w:rsid w:val="08800BD6"/>
    <w:rsid w:val="097278EB"/>
    <w:rsid w:val="0AAD2355"/>
    <w:rsid w:val="0B2A61B6"/>
    <w:rsid w:val="0BBF6171"/>
    <w:rsid w:val="0C5823BF"/>
    <w:rsid w:val="0D224C0A"/>
    <w:rsid w:val="0F1A64E0"/>
    <w:rsid w:val="0FC97A74"/>
    <w:rsid w:val="10761BCF"/>
    <w:rsid w:val="107D4233"/>
    <w:rsid w:val="112F66F0"/>
    <w:rsid w:val="11561326"/>
    <w:rsid w:val="1319085D"/>
    <w:rsid w:val="140E4B62"/>
    <w:rsid w:val="14381360"/>
    <w:rsid w:val="17042185"/>
    <w:rsid w:val="173D7210"/>
    <w:rsid w:val="17874CC0"/>
    <w:rsid w:val="17A972D5"/>
    <w:rsid w:val="18A01FCA"/>
    <w:rsid w:val="19F57A56"/>
    <w:rsid w:val="1AC4759E"/>
    <w:rsid w:val="1B26620D"/>
    <w:rsid w:val="1ED657E9"/>
    <w:rsid w:val="1FB9436F"/>
    <w:rsid w:val="1FD44ED5"/>
    <w:rsid w:val="1FED7776"/>
    <w:rsid w:val="200C293E"/>
    <w:rsid w:val="204230BC"/>
    <w:rsid w:val="2127683B"/>
    <w:rsid w:val="22EB1C8B"/>
    <w:rsid w:val="243948BB"/>
    <w:rsid w:val="2471674B"/>
    <w:rsid w:val="24F815BE"/>
    <w:rsid w:val="24FD176D"/>
    <w:rsid w:val="24FE27DF"/>
    <w:rsid w:val="264F4F43"/>
    <w:rsid w:val="270E5DB3"/>
    <w:rsid w:val="27D35B1E"/>
    <w:rsid w:val="2A120C3A"/>
    <w:rsid w:val="2B0D5CD3"/>
    <w:rsid w:val="2C097269"/>
    <w:rsid w:val="2C8649C6"/>
    <w:rsid w:val="2CFE2B46"/>
    <w:rsid w:val="2E851C21"/>
    <w:rsid w:val="2E985A5A"/>
    <w:rsid w:val="2F863E24"/>
    <w:rsid w:val="30E16A06"/>
    <w:rsid w:val="32494863"/>
    <w:rsid w:val="33867361"/>
    <w:rsid w:val="347A44AC"/>
    <w:rsid w:val="353335A8"/>
    <w:rsid w:val="369845D5"/>
    <w:rsid w:val="37B31C40"/>
    <w:rsid w:val="3A2617F6"/>
    <w:rsid w:val="3A8B220A"/>
    <w:rsid w:val="3A9A30F8"/>
    <w:rsid w:val="3AE55345"/>
    <w:rsid w:val="3B914B85"/>
    <w:rsid w:val="3BF70E8C"/>
    <w:rsid w:val="3C8F5568"/>
    <w:rsid w:val="3CFF14D4"/>
    <w:rsid w:val="3D0A3F97"/>
    <w:rsid w:val="3D263D3A"/>
    <w:rsid w:val="3DEC45B3"/>
    <w:rsid w:val="3F160661"/>
    <w:rsid w:val="3F6B01DB"/>
    <w:rsid w:val="3F710F55"/>
    <w:rsid w:val="400B379F"/>
    <w:rsid w:val="40BD5297"/>
    <w:rsid w:val="41D06928"/>
    <w:rsid w:val="42FA5706"/>
    <w:rsid w:val="441822E7"/>
    <w:rsid w:val="47954D42"/>
    <w:rsid w:val="492E05A0"/>
    <w:rsid w:val="49DB2FF4"/>
    <w:rsid w:val="4AE115BD"/>
    <w:rsid w:val="4CA426C4"/>
    <w:rsid w:val="4CCC6B33"/>
    <w:rsid w:val="4D186CF0"/>
    <w:rsid w:val="4D1A1305"/>
    <w:rsid w:val="4DAF7263"/>
    <w:rsid w:val="4F731613"/>
    <w:rsid w:val="54153D27"/>
    <w:rsid w:val="549E6BB9"/>
    <w:rsid w:val="571405B9"/>
    <w:rsid w:val="57444C2E"/>
    <w:rsid w:val="5BEE0BAB"/>
    <w:rsid w:val="5D6132D5"/>
    <w:rsid w:val="5DAC5C17"/>
    <w:rsid w:val="5E7E508A"/>
    <w:rsid w:val="5F6B5569"/>
    <w:rsid w:val="5F8A1EE4"/>
    <w:rsid w:val="5FD44075"/>
    <w:rsid w:val="6000764E"/>
    <w:rsid w:val="600B4B3D"/>
    <w:rsid w:val="63634EB3"/>
    <w:rsid w:val="643C3F6F"/>
    <w:rsid w:val="64F57B61"/>
    <w:rsid w:val="66FE4F15"/>
    <w:rsid w:val="6AA85094"/>
    <w:rsid w:val="6ACD0E86"/>
    <w:rsid w:val="6C15496D"/>
    <w:rsid w:val="6D594C53"/>
    <w:rsid w:val="6DC97103"/>
    <w:rsid w:val="6E0F30FA"/>
    <w:rsid w:val="6E66214C"/>
    <w:rsid w:val="6F28459A"/>
    <w:rsid w:val="6FF31A33"/>
    <w:rsid w:val="70384CF8"/>
    <w:rsid w:val="70981F36"/>
    <w:rsid w:val="719B7D97"/>
    <w:rsid w:val="73974727"/>
    <w:rsid w:val="745D49B7"/>
    <w:rsid w:val="74BD1F6B"/>
    <w:rsid w:val="77130221"/>
    <w:rsid w:val="77D63FD6"/>
    <w:rsid w:val="77D67BBF"/>
    <w:rsid w:val="77E9788B"/>
    <w:rsid w:val="784B3767"/>
    <w:rsid w:val="787222E6"/>
    <w:rsid w:val="7A1563A6"/>
    <w:rsid w:val="7BB6333A"/>
    <w:rsid w:val="7CAD4FBB"/>
    <w:rsid w:val="7D893061"/>
    <w:rsid w:val="7E124695"/>
    <w:rsid w:val="7EDC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12"/>
      <w:outlineLvl w:val="1"/>
    </w:pPr>
    <w:rPr>
      <w:rFonts w:ascii="宋体" w:hAnsi="宋体" w:eastAsia="宋体" w:cs="宋体"/>
      <w:sz w:val="44"/>
      <w:szCs w:val="4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Times New Roman" w:hAnsi="Times New Roman" w:eastAsia="Times New Roman" w:cs="Times New Roman"/>
      <w:sz w:val="32"/>
      <w:szCs w:val="32"/>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7932</Words>
  <Characters>8304</Characters>
  <Lines>0</Lines>
  <Paragraphs>0</Paragraphs>
  <TotalTime>1</TotalTime>
  <ScaleCrop>false</ScaleCrop>
  <LinksUpToDate>false</LinksUpToDate>
  <CharactersWithSpaces>8336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千本诺喵</cp:lastModifiedBy>
  <dcterms:modified xsi:type="dcterms:W3CDTF">2022-05-31T01:03:22Z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4BE2001A6622436AB971358EBAD460D5</vt:lpwstr>
  </property>
</Properties>
</file>