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E6C" w:rsidRPr="00FF3F8F" w:rsidRDefault="00D72E6C" w:rsidP="00FF3F8F">
      <w:pPr>
        <w:widowControl/>
        <w:spacing w:before="100" w:beforeAutospacing="1" w:after="100" w:afterAutospacing="1"/>
        <w:ind w:firstLineChars="250" w:firstLine="1205"/>
        <w:jc w:val="left"/>
        <w:outlineLvl w:val="2"/>
        <w:rPr>
          <w:rFonts w:ascii="仿宋" w:eastAsia="仿宋" w:hAnsi="仿宋" w:cs="宋体"/>
          <w:b/>
          <w:bCs/>
          <w:kern w:val="0"/>
          <w:sz w:val="48"/>
          <w:szCs w:val="48"/>
        </w:rPr>
      </w:pPr>
      <w:r w:rsidRPr="00FF3F8F">
        <w:rPr>
          <w:rFonts w:ascii="仿宋" w:eastAsia="仿宋" w:hAnsi="仿宋" w:cs="宋体"/>
          <w:b/>
          <w:bCs/>
          <w:kern w:val="0"/>
          <w:sz w:val="48"/>
          <w:szCs w:val="48"/>
        </w:rPr>
        <w:t>致应届高校毕业生的一封信</w:t>
      </w:r>
    </w:p>
    <w:p w:rsidR="00D72E6C" w:rsidRDefault="00D72E6C" w:rsidP="00D72E6C">
      <w:pPr>
        <w:pStyle w:val="a5"/>
      </w:pPr>
      <w:r>
        <w:t>亲爱的毕业生朋友们：</w:t>
      </w:r>
    </w:p>
    <w:p w:rsidR="00D72E6C" w:rsidRDefault="00D72E6C" w:rsidP="00D72E6C">
      <w:pPr>
        <w:pStyle w:val="a5"/>
        <w:ind w:firstLineChars="200" w:firstLine="480"/>
      </w:pPr>
      <w:r>
        <w:t>每年我县有数千名高校毕业生从省内外各大中专院校毕业，毕业后由毕业院校派遣回原籍报到，为方便办理毕业报到事宜，我县开通了高校毕业生网上报到系统，毕业生不必长途跋涉，往来奔波，只需上网登记信息，完成报到即可。现在，我们列举一些毕业生网上报到常见的问题，可能会对你有所帮助。</w:t>
      </w:r>
    </w:p>
    <w:p w:rsidR="00D72E6C" w:rsidRDefault="00D72E6C" w:rsidP="00D72E6C">
      <w:pPr>
        <w:pStyle w:val="a5"/>
      </w:pPr>
      <w:r>
        <w:rPr>
          <w:rStyle w:val="a6"/>
        </w:rPr>
        <w:t>1、高校毕业生网上报到的范围有哪些？</w:t>
      </w:r>
    </w:p>
    <w:p w:rsidR="00D72E6C" w:rsidRDefault="00D72E6C" w:rsidP="00D72E6C">
      <w:pPr>
        <w:pStyle w:val="a5"/>
        <w:ind w:firstLineChars="200" w:firstLine="480"/>
      </w:pPr>
      <w:r>
        <w:t>答：凡所持《报到证》上抬头是“枞阳县人才交流服务中心（或枞阳县人力资源和社会保障局）”、及枞阳县辖区内的企事业单位的高校毕业生，及档案从各地大中专毕业生就业指导中心或初试工作单位转入的高校毕业生，均实行网上报到，不需到现场办理报到手续。</w:t>
      </w:r>
    </w:p>
    <w:p w:rsidR="00D72E6C" w:rsidRDefault="00D72E6C" w:rsidP="00D72E6C">
      <w:pPr>
        <w:pStyle w:val="a5"/>
      </w:pPr>
      <w:r>
        <w:rPr>
          <w:rStyle w:val="a6"/>
        </w:rPr>
        <w:t>2、高校毕业生网上报到的具体操作流程是怎样？</w:t>
      </w:r>
    </w:p>
    <w:p w:rsidR="00D72E6C" w:rsidRDefault="00D72E6C" w:rsidP="00D72E6C">
      <w:pPr>
        <w:pStyle w:val="a5"/>
        <w:ind w:firstLineChars="150" w:firstLine="360"/>
      </w:pPr>
      <w:r>
        <w:t>答：</w:t>
      </w:r>
      <w:r w:rsidR="000742A0">
        <w:rPr>
          <w:rFonts w:hint="eastAsia"/>
        </w:rPr>
        <w:t>百度搜索“枞阳县人力资源和社会保障局”或直接</w:t>
      </w:r>
      <w:r>
        <w:t>登录</w:t>
      </w:r>
      <w:r w:rsidR="000742A0">
        <w:rPr>
          <w:rFonts w:hint="eastAsia"/>
        </w:rPr>
        <w:t>网页</w:t>
      </w:r>
      <w:r>
        <w:t>“中国枞阳”，点击网页右侧下方：人社查询入口（网址：</w:t>
      </w:r>
      <w:r w:rsidR="006657FC" w:rsidRPr="006657FC">
        <w:t>http://www.zyxrsj.cn/</w:t>
      </w:r>
      <w:r>
        <w:t>）→“高校毕业生网上报到系统”→浏览《高校毕业生报到须知》→输入相关信息→录入报到信息→点击“确定报到”按键→完成报到手续。</w:t>
      </w:r>
    </w:p>
    <w:p w:rsidR="00D72E6C" w:rsidRDefault="00D72E6C" w:rsidP="00D72E6C">
      <w:pPr>
        <w:pStyle w:val="a5"/>
      </w:pPr>
      <w:r>
        <w:t>链接网址二维码：</w:t>
      </w:r>
    </w:p>
    <w:p w:rsidR="00D72E6C" w:rsidRDefault="00D72E6C" w:rsidP="00D72E6C">
      <w:pPr>
        <w:pStyle w:val="a5"/>
        <w:jc w:val="center"/>
      </w:pPr>
      <w:r>
        <w:rPr>
          <w:noProof/>
        </w:rPr>
        <w:drawing>
          <wp:inline distT="0" distB="0" distL="0" distR="0">
            <wp:extent cx="1800225" cy="1784838"/>
            <wp:effectExtent l="19050" t="0" r="9525" b="0"/>
            <wp:docPr id="7" name="图片 7" descr="C:\Users\Administrator\Desktop\QQ截图20190418163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QQ截图20190418163736.png"/>
                    <pic:cNvPicPr>
                      <a:picLocks noChangeAspect="1" noChangeArrowheads="1"/>
                    </pic:cNvPicPr>
                  </pic:nvPicPr>
                  <pic:blipFill>
                    <a:blip r:embed="rId6"/>
                    <a:srcRect/>
                    <a:stretch>
                      <a:fillRect/>
                    </a:stretch>
                  </pic:blipFill>
                  <pic:spPr bwMode="auto">
                    <a:xfrm>
                      <a:off x="0" y="0"/>
                      <a:ext cx="1800225" cy="1784838"/>
                    </a:xfrm>
                    <a:prstGeom prst="rect">
                      <a:avLst/>
                    </a:prstGeom>
                    <a:noFill/>
                    <a:ln w="9525">
                      <a:noFill/>
                      <a:miter lim="800000"/>
                      <a:headEnd/>
                      <a:tailEnd/>
                    </a:ln>
                  </pic:spPr>
                </pic:pic>
              </a:graphicData>
            </a:graphic>
          </wp:inline>
        </w:drawing>
      </w:r>
      <w:r>
        <w:br/>
        <w:t> </w:t>
      </w:r>
    </w:p>
    <w:p w:rsidR="00D72E6C" w:rsidRDefault="00D72E6C" w:rsidP="00D72E6C">
      <w:pPr>
        <w:pStyle w:val="a5"/>
      </w:pPr>
      <w:r>
        <w:rPr>
          <w:rStyle w:val="a6"/>
        </w:rPr>
        <w:t>3、网上办理毕业生报到时须注意哪些事项？</w:t>
      </w:r>
    </w:p>
    <w:p w:rsidR="00D72E6C" w:rsidRDefault="00D72E6C" w:rsidP="00D72E6C">
      <w:pPr>
        <w:pStyle w:val="a5"/>
      </w:pPr>
      <w:r>
        <w:t>答：（1）只有档案到我中心后方可办理网上报到。（2）填报的信息须真实、完整、准确。（3）如到档查询出现同姓名、同届别难以甄别，请在上班时间内联系县人才中心（联系电话：0562-3211445）。（4）网上报到时间不受毕业生报到证上的报到期限限制，暑假期间内均可报到。（5）网上报到后，不必再到现场提交任何资料。如有其他相关业务仍需到现场办理，请妥善保管好《报到证》。</w:t>
      </w:r>
      <w:r>
        <w:lastRenderedPageBreak/>
        <w:t>（6）如未查到档案，首先，请第一时间联系学校确认个人学籍档案是否已寄出；其次，确认档案已由学校寄出的，结合学校邮寄档案时间，以及档案到达我中心后工作人员登记档案信息所需时间（一般需要10-20个工作日）进行推算；最后，确认档案已由学校寄出且超过25个工作日还未查询到的，请及时与县人才中心联系，对档案的邮寄接收情况做进一步的核实。</w:t>
      </w:r>
    </w:p>
    <w:p w:rsidR="00D72E6C" w:rsidRDefault="00D72E6C" w:rsidP="00D72E6C">
      <w:pPr>
        <w:pStyle w:val="a5"/>
      </w:pPr>
      <w:r>
        <w:rPr>
          <w:rStyle w:val="a6"/>
        </w:rPr>
        <w:t>4、毕业生办理网上报到后享有哪些后续服务？</w:t>
      </w:r>
    </w:p>
    <w:p w:rsidR="00D72E6C" w:rsidRDefault="00D72E6C" w:rsidP="00D72E6C">
      <w:pPr>
        <w:pStyle w:val="a5"/>
      </w:pPr>
      <w:r>
        <w:t>答：（1）档案的接收和转递；（2）档案材料的收集、鉴别和归档；（3）档案的整理和保管；（4）为符合相关规定的单位提供档案查（借）阅服务；（5）依据档案记载出具存档、经历、亲属关系等相关证明；（6）为相关单位提供入党、参军、录用、出国（境）等政审（考察）服务；（7）提供公共人才政策咨询和就业服务，为离校未就业毕业生提供职业指导、职业介绍、创业培训等。</w:t>
      </w:r>
    </w:p>
    <w:p w:rsidR="00D72E6C" w:rsidRPr="00D72E6C" w:rsidRDefault="00D72E6C" w:rsidP="00D72E6C">
      <w:pPr>
        <w:pStyle w:val="a5"/>
        <w:rPr>
          <w:b/>
          <w:color w:val="000000" w:themeColor="text1"/>
        </w:rPr>
      </w:pPr>
      <w:r w:rsidRPr="00D72E6C">
        <w:rPr>
          <w:rStyle w:val="a6"/>
        </w:rPr>
        <w:t>5、</w:t>
      </w:r>
      <w:r w:rsidRPr="00D72E6C">
        <w:rPr>
          <w:rFonts w:hint="eastAsia"/>
          <w:b/>
          <w:color w:val="000000" w:themeColor="text1"/>
        </w:rPr>
        <w:t>档案接收（保管）机构名称及通讯方式</w:t>
      </w:r>
      <w:r>
        <w:rPr>
          <w:rFonts w:hint="eastAsia"/>
          <w:b/>
          <w:color w:val="000000" w:themeColor="text1"/>
        </w:rPr>
        <w:t>。</w:t>
      </w:r>
    </w:p>
    <w:p w:rsidR="00D72E6C" w:rsidRDefault="00D72E6C" w:rsidP="00D72E6C">
      <w:pPr>
        <w:pStyle w:val="a5"/>
        <w:rPr>
          <w:rStyle w:val="a6"/>
        </w:rPr>
      </w:pPr>
      <w:r w:rsidRPr="00A7647E">
        <w:rPr>
          <w:rFonts w:hint="eastAsia"/>
          <w:color w:val="000000" w:themeColor="text1"/>
        </w:rPr>
        <w:t>机构名称：枞阳县人才交流服务中心</w:t>
      </w:r>
      <w:r>
        <w:rPr>
          <w:rFonts w:hint="eastAsia"/>
          <w:color w:val="000000" w:themeColor="text1"/>
        </w:rPr>
        <w:t>；</w:t>
      </w:r>
      <w:r w:rsidRPr="00A7647E">
        <w:rPr>
          <w:rFonts w:hint="eastAsia"/>
          <w:color w:val="000000" w:themeColor="text1"/>
        </w:rPr>
        <w:t>地址：安徽省铜陵市枞阳县连城东路14号</w:t>
      </w:r>
      <w:r>
        <w:rPr>
          <w:rFonts w:hint="eastAsia"/>
          <w:color w:val="000000" w:themeColor="text1"/>
        </w:rPr>
        <w:t>县人社局二楼；</w:t>
      </w:r>
      <w:r w:rsidRPr="00A7647E">
        <w:rPr>
          <w:rFonts w:hint="eastAsia"/>
          <w:color w:val="000000" w:themeColor="text1"/>
        </w:rPr>
        <w:t>联系电话：0562-3211445，邮编246701。</w:t>
      </w:r>
    </w:p>
    <w:p w:rsidR="00D72E6C" w:rsidRDefault="00D72E6C" w:rsidP="00D72E6C">
      <w:pPr>
        <w:pStyle w:val="a5"/>
      </w:pPr>
      <w:r>
        <w:rPr>
          <w:rStyle w:val="a6"/>
          <w:rFonts w:hint="eastAsia"/>
        </w:rPr>
        <w:t>6</w:t>
      </w:r>
      <w:r>
        <w:rPr>
          <w:rStyle w:val="a6"/>
        </w:rPr>
        <w:t>、其他注意事项</w:t>
      </w:r>
      <w:r>
        <w:rPr>
          <w:rStyle w:val="a6"/>
          <w:rFonts w:hint="eastAsia"/>
        </w:rPr>
        <w:t>。</w:t>
      </w:r>
    </w:p>
    <w:p w:rsidR="00D72E6C" w:rsidRDefault="00D72E6C" w:rsidP="00D72E6C">
      <w:pPr>
        <w:pStyle w:val="a5"/>
      </w:pPr>
      <w:r>
        <w:t>（1）转党组织关系：可持由毕业院校开具的党组织关系转移介绍信前往</w:t>
      </w:r>
      <w:r w:rsidR="00D933B6">
        <w:t>中共枞阳县委组织部（咨询电话：0562-2970729）</w:t>
      </w:r>
      <w:r>
        <w:t>，办理党组织关系转移事宜。</w:t>
      </w:r>
    </w:p>
    <w:p w:rsidR="00D72E6C" w:rsidRDefault="00D72E6C" w:rsidP="00D72E6C">
      <w:pPr>
        <w:pStyle w:val="a5"/>
      </w:pPr>
      <w:r>
        <w:t>（2）转户口：</w:t>
      </w:r>
      <w:r w:rsidR="00D933B6">
        <w:t>凡户口迁回本县的毕业生，其户口应迁</w:t>
      </w:r>
      <w:r w:rsidR="006735C7">
        <w:rPr>
          <w:rFonts w:hint="eastAsia"/>
        </w:rPr>
        <w:t>回</w:t>
      </w:r>
      <w:r w:rsidR="00D933B6">
        <w:t>原户籍乡镇，可持由毕业院校开具的户口迁移证明（包括抬头是“枞阳县人力资源和社会保障局”）、《全国普通高等学校本、专科、研究生就业通知书（就业报到证）》前往原户籍乡镇派出所办理户口迁移手续。</w:t>
      </w:r>
    </w:p>
    <w:p w:rsidR="00D72E6C" w:rsidRDefault="00352D8E" w:rsidP="00D72E6C">
      <w:pPr>
        <w:pStyle w:val="a5"/>
      </w:pPr>
      <w:r>
        <w:t>（</w:t>
      </w:r>
      <w:r>
        <w:rPr>
          <w:rFonts w:hint="eastAsia"/>
        </w:rPr>
        <w:t>3</w:t>
      </w:r>
      <w:r>
        <w:t>）</w:t>
      </w:r>
      <w:r w:rsidR="001447E2">
        <w:t>根据档案管理属地原则</w:t>
      </w:r>
      <w:r>
        <w:t>，</w:t>
      </w:r>
      <w:r w:rsidR="001447E2">
        <w:rPr>
          <w:rFonts w:hint="eastAsia"/>
        </w:rPr>
        <w:t>自</w:t>
      </w:r>
      <w:r>
        <w:t>2019年起</w:t>
      </w:r>
      <w:r w:rsidR="001447E2">
        <w:rPr>
          <w:rFonts w:hint="eastAsia"/>
        </w:rPr>
        <w:t>，对于原</w:t>
      </w:r>
      <w:r>
        <w:t>枞阳县老洲、陈瑶湖、周潭3镇（现已划入铜陵市郊区）生源的</w:t>
      </w:r>
      <w:r w:rsidR="001447E2">
        <w:rPr>
          <w:rFonts w:hint="eastAsia"/>
        </w:rPr>
        <w:t>应届</w:t>
      </w:r>
      <w:r>
        <w:t>毕业生档案，</w:t>
      </w:r>
      <w:r w:rsidR="001447E2">
        <w:rPr>
          <w:rFonts w:hint="eastAsia"/>
        </w:rPr>
        <w:t>应当派遣</w:t>
      </w:r>
      <w:r>
        <w:t>至铜陵市公共就业人才服务局</w:t>
      </w:r>
      <w:r>
        <w:rPr>
          <w:rFonts w:hint="eastAsia"/>
        </w:rPr>
        <w:t>(</w:t>
      </w:r>
      <w:r>
        <w:t>咨询电话：0562-</w:t>
      </w:r>
      <w:r>
        <w:rPr>
          <w:rFonts w:hint="eastAsia"/>
        </w:rPr>
        <w:t>2126892)</w:t>
      </w:r>
      <w:r>
        <w:t>。</w:t>
      </w:r>
    </w:p>
    <w:p w:rsidR="000742A0" w:rsidRDefault="00D72E6C" w:rsidP="000742A0">
      <w:pPr>
        <w:pStyle w:val="a5"/>
        <w:jc w:val="right"/>
      </w:pPr>
      <w:r>
        <w:t> </w:t>
      </w:r>
      <w:r w:rsidR="000742A0">
        <w:t>枞阳县人才交流服务中心</w:t>
      </w:r>
    </w:p>
    <w:p w:rsidR="000742A0" w:rsidRDefault="000742A0" w:rsidP="000742A0">
      <w:pPr>
        <w:pStyle w:val="a5"/>
        <w:jc w:val="right"/>
      </w:pPr>
      <w:r>
        <w:t>20</w:t>
      </w:r>
      <w:r w:rsidR="006657FC">
        <w:rPr>
          <w:rFonts w:hint="eastAsia"/>
        </w:rPr>
        <w:t>21</w:t>
      </w:r>
      <w:r>
        <w:t>年</w:t>
      </w:r>
      <w:r w:rsidR="006657FC">
        <w:rPr>
          <w:rFonts w:hint="eastAsia"/>
        </w:rPr>
        <w:t>7</w:t>
      </w:r>
      <w:r>
        <w:t>月</w:t>
      </w:r>
      <w:r w:rsidR="006657FC">
        <w:rPr>
          <w:rFonts w:hint="eastAsia"/>
        </w:rPr>
        <w:t>1</w:t>
      </w:r>
      <w:r>
        <w:t>日</w:t>
      </w:r>
    </w:p>
    <w:p w:rsidR="00D72E6C" w:rsidRDefault="00D72E6C" w:rsidP="00D72E6C">
      <w:pPr>
        <w:pStyle w:val="a5"/>
      </w:pPr>
    </w:p>
    <w:p w:rsidR="00D72E6C" w:rsidRDefault="00D72E6C" w:rsidP="00D72E6C">
      <w:pPr>
        <w:pStyle w:val="a5"/>
        <w:sectPr w:rsidR="00D72E6C">
          <w:pgSz w:w="11906" w:h="16838"/>
          <w:pgMar w:top="1440" w:right="1800" w:bottom="1440" w:left="1800" w:header="851" w:footer="992" w:gutter="0"/>
          <w:cols w:space="425"/>
          <w:docGrid w:type="lines" w:linePitch="312"/>
        </w:sectPr>
      </w:pPr>
    </w:p>
    <w:p w:rsidR="00D72E6C" w:rsidRDefault="00D72E6C" w:rsidP="00D72E6C">
      <w:pPr>
        <w:pStyle w:val="a5"/>
      </w:pPr>
    </w:p>
    <w:p w:rsidR="00D72E6C" w:rsidRDefault="00D72E6C" w:rsidP="00D72E6C">
      <w:pPr>
        <w:pStyle w:val="a5"/>
        <w:jc w:val="center"/>
      </w:pPr>
      <w:r>
        <w:rPr>
          <w:noProof/>
          <w:color w:val="0000FF"/>
        </w:rPr>
        <w:drawing>
          <wp:inline distT="0" distB="0" distL="0" distR="0">
            <wp:extent cx="8181975" cy="3857625"/>
            <wp:effectExtent l="19050" t="0" r="9525" b="0"/>
            <wp:docPr id="2" name="图片 2" descr="点击浏览下一页">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点击浏览下一页">
                      <a:hlinkClick r:id="rId7" tgtFrame="&quot;_blank&quot;"/>
                    </pic:cNvPr>
                    <pic:cNvPicPr>
                      <a:picLocks noChangeAspect="1" noChangeArrowheads="1"/>
                    </pic:cNvPicPr>
                  </pic:nvPicPr>
                  <pic:blipFill>
                    <a:blip r:embed="rId8"/>
                    <a:srcRect/>
                    <a:stretch>
                      <a:fillRect/>
                    </a:stretch>
                  </pic:blipFill>
                  <pic:spPr bwMode="auto">
                    <a:xfrm>
                      <a:off x="0" y="0"/>
                      <a:ext cx="8181975" cy="3857625"/>
                    </a:xfrm>
                    <a:prstGeom prst="rect">
                      <a:avLst/>
                    </a:prstGeom>
                    <a:noFill/>
                    <a:ln w="9525">
                      <a:noFill/>
                      <a:miter lim="800000"/>
                      <a:headEnd/>
                      <a:tailEnd/>
                    </a:ln>
                  </pic:spPr>
                </pic:pic>
              </a:graphicData>
            </a:graphic>
          </wp:inline>
        </w:drawing>
      </w:r>
      <w:r>
        <w:br/>
        <w:t> </w:t>
      </w:r>
    </w:p>
    <w:p w:rsidR="00D72E6C" w:rsidRDefault="00D72E6C" w:rsidP="00D72E6C">
      <w:pPr>
        <w:pStyle w:val="a5"/>
        <w:jc w:val="center"/>
      </w:pPr>
      <w:r>
        <w:rPr>
          <w:noProof/>
          <w:color w:val="0000FF"/>
        </w:rPr>
        <w:lastRenderedPageBreak/>
        <w:drawing>
          <wp:inline distT="0" distB="0" distL="0" distR="0">
            <wp:extent cx="8181975" cy="3857625"/>
            <wp:effectExtent l="19050" t="0" r="9525" b="0"/>
            <wp:docPr id="3" name="图片 3" descr="点击浏览下一页">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点击浏览下一页">
                      <a:hlinkClick r:id="rId9" tgtFrame="&quot;_blank&quot;"/>
                    </pic:cNvPr>
                    <pic:cNvPicPr>
                      <a:picLocks noChangeAspect="1" noChangeArrowheads="1"/>
                    </pic:cNvPicPr>
                  </pic:nvPicPr>
                  <pic:blipFill>
                    <a:blip r:embed="rId10"/>
                    <a:srcRect/>
                    <a:stretch>
                      <a:fillRect/>
                    </a:stretch>
                  </pic:blipFill>
                  <pic:spPr bwMode="auto">
                    <a:xfrm>
                      <a:off x="0" y="0"/>
                      <a:ext cx="8181975" cy="3857625"/>
                    </a:xfrm>
                    <a:prstGeom prst="rect">
                      <a:avLst/>
                    </a:prstGeom>
                    <a:noFill/>
                    <a:ln w="9525">
                      <a:noFill/>
                      <a:miter lim="800000"/>
                      <a:headEnd/>
                      <a:tailEnd/>
                    </a:ln>
                  </pic:spPr>
                </pic:pic>
              </a:graphicData>
            </a:graphic>
          </wp:inline>
        </w:drawing>
      </w:r>
      <w:r>
        <w:br/>
        <w:t> </w:t>
      </w:r>
    </w:p>
    <w:p w:rsidR="00D72E6C" w:rsidRDefault="00D72E6C" w:rsidP="00D72E6C">
      <w:pPr>
        <w:pStyle w:val="a5"/>
      </w:pPr>
      <w:r>
        <w:t> </w:t>
      </w:r>
    </w:p>
    <w:p w:rsidR="00D72E6C" w:rsidRDefault="00D72E6C" w:rsidP="00D72E6C">
      <w:pPr>
        <w:pStyle w:val="a5"/>
        <w:jc w:val="right"/>
      </w:pPr>
      <w:r>
        <w:t> </w:t>
      </w:r>
    </w:p>
    <w:p w:rsidR="00D72E6C" w:rsidRPr="00D72E6C" w:rsidRDefault="00D72E6C" w:rsidP="00D72E6C">
      <w:pPr>
        <w:widowControl/>
        <w:spacing w:before="100" w:beforeAutospacing="1" w:after="100" w:afterAutospacing="1"/>
        <w:jc w:val="left"/>
        <w:outlineLvl w:val="2"/>
        <w:rPr>
          <w:rFonts w:ascii="宋体" w:eastAsia="宋体" w:hAnsi="宋体" w:cs="宋体"/>
          <w:b/>
          <w:bCs/>
          <w:kern w:val="0"/>
          <w:sz w:val="27"/>
          <w:szCs w:val="27"/>
        </w:rPr>
      </w:pPr>
    </w:p>
    <w:p w:rsidR="002E1332" w:rsidRPr="00D72E6C" w:rsidRDefault="002E1332"/>
    <w:sectPr w:rsidR="002E1332" w:rsidRPr="00D72E6C" w:rsidSect="00D72E6C">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D73" w:rsidRDefault="00291D73" w:rsidP="00D72E6C">
      <w:r>
        <w:separator/>
      </w:r>
    </w:p>
  </w:endnote>
  <w:endnote w:type="continuationSeparator" w:id="1">
    <w:p w:rsidR="00291D73" w:rsidRDefault="00291D73" w:rsidP="00D72E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D73" w:rsidRDefault="00291D73" w:rsidP="00D72E6C">
      <w:r>
        <w:separator/>
      </w:r>
    </w:p>
  </w:footnote>
  <w:footnote w:type="continuationSeparator" w:id="1">
    <w:p w:rsidR="00291D73" w:rsidRDefault="00291D73" w:rsidP="00D72E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E6C"/>
    <w:rsid w:val="00060515"/>
    <w:rsid w:val="000742A0"/>
    <w:rsid w:val="000D3FD5"/>
    <w:rsid w:val="0010723E"/>
    <w:rsid w:val="001447E2"/>
    <w:rsid w:val="00291D73"/>
    <w:rsid w:val="002E1332"/>
    <w:rsid w:val="00352D8E"/>
    <w:rsid w:val="00523127"/>
    <w:rsid w:val="005A7B90"/>
    <w:rsid w:val="006657FC"/>
    <w:rsid w:val="006735C7"/>
    <w:rsid w:val="00784312"/>
    <w:rsid w:val="008351B2"/>
    <w:rsid w:val="009F6850"/>
    <w:rsid w:val="00A17453"/>
    <w:rsid w:val="00A810F2"/>
    <w:rsid w:val="00B841D7"/>
    <w:rsid w:val="00CA438B"/>
    <w:rsid w:val="00CA4722"/>
    <w:rsid w:val="00D72E6C"/>
    <w:rsid w:val="00D933B6"/>
    <w:rsid w:val="00E02C12"/>
    <w:rsid w:val="00FF3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38B"/>
    <w:pPr>
      <w:widowControl w:val="0"/>
      <w:jc w:val="both"/>
    </w:pPr>
  </w:style>
  <w:style w:type="paragraph" w:styleId="3">
    <w:name w:val="heading 3"/>
    <w:basedOn w:val="a"/>
    <w:link w:val="3Char"/>
    <w:uiPriority w:val="9"/>
    <w:qFormat/>
    <w:rsid w:val="00D72E6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2E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2E6C"/>
    <w:rPr>
      <w:sz w:val="18"/>
      <w:szCs w:val="18"/>
    </w:rPr>
  </w:style>
  <w:style w:type="paragraph" w:styleId="a4">
    <w:name w:val="footer"/>
    <w:basedOn w:val="a"/>
    <w:link w:val="Char0"/>
    <w:uiPriority w:val="99"/>
    <w:semiHidden/>
    <w:unhideWhenUsed/>
    <w:rsid w:val="00D72E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2E6C"/>
    <w:rPr>
      <w:sz w:val="18"/>
      <w:szCs w:val="18"/>
    </w:rPr>
  </w:style>
  <w:style w:type="character" w:customStyle="1" w:styleId="3Char">
    <w:name w:val="标题 3 Char"/>
    <w:basedOn w:val="a0"/>
    <w:link w:val="3"/>
    <w:uiPriority w:val="9"/>
    <w:rsid w:val="00D72E6C"/>
    <w:rPr>
      <w:rFonts w:ascii="宋体" w:eastAsia="宋体" w:hAnsi="宋体" w:cs="宋体"/>
      <w:b/>
      <w:bCs/>
      <w:kern w:val="0"/>
      <w:sz w:val="27"/>
      <w:szCs w:val="27"/>
    </w:rPr>
  </w:style>
  <w:style w:type="paragraph" w:styleId="a5">
    <w:name w:val="Normal (Web)"/>
    <w:basedOn w:val="a"/>
    <w:uiPriority w:val="99"/>
    <w:unhideWhenUsed/>
    <w:rsid w:val="00D72E6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72E6C"/>
    <w:rPr>
      <w:b/>
      <w:bCs/>
    </w:rPr>
  </w:style>
  <w:style w:type="character" w:styleId="a7">
    <w:name w:val="Hyperlink"/>
    <w:basedOn w:val="a0"/>
    <w:uiPriority w:val="99"/>
    <w:semiHidden/>
    <w:unhideWhenUsed/>
    <w:rsid w:val="00D72E6C"/>
    <w:rPr>
      <w:color w:val="0000FF"/>
      <w:u w:val="single"/>
    </w:rPr>
  </w:style>
  <w:style w:type="paragraph" w:styleId="a8">
    <w:name w:val="Balloon Text"/>
    <w:basedOn w:val="a"/>
    <w:link w:val="Char1"/>
    <w:uiPriority w:val="99"/>
    <w:semiHidden/>
    <w:unhideWhenUsed/>
    <w:rsid w:val="00D72E6C"/>
    <w:rPr>
      <w:sz w:val="18"/>
      <w:szCs w:val="18"/>
    </w:rPr>
  </w:style>
  <w:style w:type="character" w:customStyle="1" w:styleId="Char1">
    <w:name w:val="批注框文本 Char"/>
    <w:basedOn w:val="a0"/>
    <w:link w:val="a8"/>
    <w:uiPriority w:val="99"/>
    <w:semiHidden/>
    <w:rsid w:val="00D72E6C"/>
    <w:rPr>
      <w:sz w:val="18"/>
      <w:szCs w:val="18"/>
    </w:rPr>
  </w:style>
</w:styles>
</file>

<file path=word/webSettings.xml><?xml version="1.0" encoding="utf-8"?>
<w:webSettings xmlns:r="http://schemas.openxmlformats.org/officeDocument/2006/relationships" xmlns:w="http://schemas.openxmlformats.org/wordprocessingml/2006/main">
  <w:divs>
    <w:div w:id="496844556">
      <w:bodyDiv w:val="1"/>
      <w:marLeft w:val="0"/>
      <w:marRight w:val="0"/>
      <w:marTop w:val="0"/>
      <w:marBottom w:val="0"/>
      <w:divBdr>
        <w:top w:val="none" w:sz="0" w:space="0" w:color="auto"/>
        <w:left w:val="none" w:sz="0" w:space="0" w:color="auto"/>
        <w:bottom w:val="none" w:sz="0" w:space="0" w:color="auto"/>
        <w:right w:val="none" w:sz="0" w:space="0" w:color="auto"/>
      </w:divBdr>
      <w:divsChild>
        <w:div w:id="358048142">
          <w:marLeft w:val="0"/>
          <w:marRight w:val="0"/>
          <w:marTop w:val="0"/>
          <w:marBottom w:val="0"/>
          <w:divBdr>
            <w:top w:val="none" w:sz="0" w:space="0" w:color="auto"/>
            <w:left w:val="none" w:sz="0" w:space="0" w:color="auto"/>
            <w:bottom w:val="none" w:sz="0" w:space="0" w:color="auto"/>
            <w:right w:val="none" w:sz="0" w:space="0" w:color="auto"/>
          </w:divBdr>
          <w:divsChild>
            <w:div w:id="16595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7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zyxrsj.cn/UploadFiles/2017-06/zytfj/2017060916375954695.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www.zyxrsj.cn/UploadFiles/2017-06/zytfj/201706091638078095.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Words>
  <Characters>1254</Characters>
  <Application>Microsoft Office Word</Application>
  <DocSecurity>0</DocSecurity>
  <Lines>10</Lines>
  <Paragraphs>2</Paragraphs>
  <ScaleCrop>false</ScaleCrop>
  <Company>China</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2021-07-14T09:29:00Z</dcterms:created>
  <dcterms:modified xsi:type="dcterms:W3CDTF">2021-07-14T09:29:00Z</dcterms:modified>
</cp:coreProperties>
</file>